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C96C" w14:textId="77777777" w:rsidR="007815EA" w:rsidRDefault="00D56841">
      <w:pPr>
        <w:jc w:val="center"/>
      </w:pPr>
      <w:r>
        <w:rPr>
          <w:rFonts w:ascii="Aptos" w:hAnsi="Aptos"/>
          <w:b/>
          <w:color w:val="1B5E3F"/>
          <w:sz w:val="26"/>
        </w:rPr>
        <w:t>NCIE-002 v0.4 → v0.5</w:t>
      </w:r>
    </w:p>
    <w:p w14:paraId="2514E889" w14:textId="77777777" w:rsidR="007815EA" w:rsidRDefault="00D56841">
      <w:pPr>
        <w:jc w:val="center"/>
      </w:pPr>
      <w:r>
        <w:rPr>
          <w:rFonts w:ascii="Aptos" w:hAnsi="Aptos"/>
          <w:b/>
          <w:color w:val="0B3D2E"/>
          <w:sz w:val="34"/>
        </w:rPr>
        <w:t>Surgical Amendment Change Register</w:t>
      </w:r>
    </w:p>
    <w:p w14:paraId="2E29A15E" w14:textId="77777777" w:rsidR="007815EA" w:rsidRDefault="00D56841">
      <w:pPr>
        <w:jc w:val="center"/>
      </w:pPr>
      <w:r>
        <w:rPr>
          <w:rFonts w:ascii="Aptos" w:hAnsi="Aptos"/>
          <w:b/>
          <w:color w:val="C9A227"/>
        </w:rPr>
        <w:t>VPF &amp; Dynamic Agent Synthesis Architectural Consistency Amendment — IN DEVELOPMENT / FOR HUMAN REVIEW</w:t>
      </w:r>
    </w:p>
    <w:p w14:paraId="0E206593" w14:textId="77777777" w:rsidR="007815EA" w:rsidRDefault="007815EA"/>
    <w:p w14:paraId="0BE56464" w14:textId="77777777" w:rsidR="007815EA" w:rsidRDefault="00D56841">
      <w:pPr>
        <w:spacing w:after="120"/>
      </w:pPr>
      <w:r>
        <w:rPr>
          <w:rFonts w:ascii="Aptos" w:hAnsi="Aptos"/>
          <w:color w:val="2A2A2A"/>
          <w:sz w:val="20"/>
        </w:rPr>
        <w:t>Authorities: Approved NCIE-001 — Master PRD v1.3, and approved NCIE-007 — AI, Agent &amp; Model Orchestration Specification v1.1. The existing 32-chapter structure is unchanged; no chapter was added, removed or renumbered.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1"/>
        <w:gridCol w:w="1125"/>
        <w:gridCol w:w="1835"/>
        <w:gridCol w:w="2095"/>
        <w:gridCol w:w="923"/>
        <w:gridCol w:w="1347"/>
        <w:gridCol w:w="640"/>
      </w:tblGrid>
      <w:tr w:rsidR="007815EA" w14:paraId="00B4B3CC" w14:textId="77777777">
        <w:tc>
          <w:tcPr>
            <w:tcW w:w="1234" w:type="dxa"/>
            <w:shd w:val="clear" w:color="auto" w:fill="0B3D2E"/>
          </w:tcPr>
          <w:p w14:paraId="7A48F557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Amendment ID</w:t>
            </w:r>
          </w:p>
        </w:tc>
        <w:tc>
          <w:tcPr>
            <w:tcW w:w="1234" w:type="dxa"/>
            <w:shd w:val="clear" w:color="auto" w:fill="0B3D2E"/>
          </w:tcPr>
          <w:p w14:paraId="5BF90077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Chapter/Section</w:t>
            </w:r>
          </w:p>
        </w:tc>
        <w:tc>
          <w:tcPr>
            <w:tcW w:w="1234" w:type="dxa"/>
            <w:shd w:val="clear" w:color="auto" w:fill="0B3D2E"/>
          </w:tcPr>
          <w:p w14:paraId="7A93CACA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Existing Architecture</w:t>
            </w:r>
          </w:p>
        </w:tc>
        <w:tc>
          <w:tcPr>
            <w:tcW w:w="1234" w:type="dxa"/>
            <w:shd w:val="clear" w:color="auto" w:fill="0B3D2E"/>
          </w:tcPr>
          <w:p w14:paraId="12D7A75D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Amendment</w:t>
            </w:r>
          </w:p>
        </w:tc>
        <w:tc>
          <w:tcPr>
            <w:tcW w:w="1234" w:type="dxa"/>
            <w:shd w:val="clear" w:color="auto" w:fill="0B3D2E"/>
          </w:tcPr>
          <w:p w14:paraId="763C578D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Authority</w:t>
            </w:r>
          </w:p>
        </w:tc>
        <w:tc>
          <w:tcPr>
            <w:tcW w:w="1234" w:type="dxa"/>
            <w:shd w:val="clear" w:color="auto" w:fill="0B3D2E"/>
          </w:tcPr>
          <w:p w14:paraId="03F7A1FB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w="1234" w:type="dxa"/>
            <w:shd w:val="clear" w:color="auto" w:fill="0B3D2E"/>
          </w:tcPr>
          <w:p w14:paraId="4E0DC112" w14:textId="77777777" w:rsidR="007815EA" w:rsidRDefault="00D56841"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 w:rsidR="007815EA" w14:paraId="0C3D7C73" w14:textId="77777777">
        <w:tc>
          <w:tcPr>
            <w:tcW w:w="1234" w:type="dxa"/>
            <w:shd w:val="clear" w:color="auto" w:fill="FFFFFF"/>
          </w:tcPr>
          <w:p w14:paraId="2F624DEF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AM-1</w:t>
            </w:r>
          </w:p>
        </w:tc>
        <w:tc>
          <w:tcPr>
            <w:tcW w:w="1234" w:type="dxa"/>
            <w:shd w:val="clear" w:color="auto" w:fill="FFFFFF"/>
          </w:tcPr>
          <w:p w14:paraId="6954A5D6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Ch.1 §1.2, new §1.3.6</w:t>
            </w:r>
          </w:p>
        </w:tc>
        <w:tc>
          <w:tcPr>
            <w:tcW w:w="1234" w:type="dxa"/>
            <w:shd w:val="clear" w:color="auto" w:fill="FFFFFF"/>
          </w:tcPr>
          <w:p w14:paraId="6F6AEA2E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AI platform named only as a single scope item; no AI/agent governing-invariants subsection.</w:t>
            </w:r>
          </w:p>
        </w:tc>
        <w:tc>
          <w:tcPr>
            <w:tcW w:w="1234" w:type="dxa"/>
            <w:shd w:val="clear" w:color="auto" w:fill="FFFFFF"/>
          </w:tcPr>
          <w:p w14:paraId="73A6CA5D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Expanded the §1.2 AI-platform mention to name its sub-components (ARGUS, Model Gateway, Tool Gateway, Context/Memory Services, Evaluation/Guardrail Services, Agent Factory, Ephemeral Agent Runtime, VPF, Agent/VPF Profile Registries); added new §1.3.6 listing the 7 new AI/Agent governing invariants.</w:t>
            </w:r>
          </w:p>
        </w:tc>
        <w:tc>
          <w:tcPr>
            <w:tcW w:w="1234" w:type="dxa"/>
            <w:shd w:val="clear" w:color="auto" w:fill="FFFFFF"/>
          </w:tcPr>
          <w:p w14:paraId="60AE421A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NCIE-007 v1.1 front matter §0.3</w:t>
            </w:r>
          </w:p>
        </w:tc>
        <w:tc>
          <w:tcPr>
            <w:tcW w:w="1234" w:type="dxa"/>
            <w:shd w:val="clear" w:color="auto" w:fill="FFFFFF"/>
          </w:tcPr>
          <w:p w14:paraId="182AC41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The reference architecture omitted the approved Dynamic Agent and VPF capability.</w:t>
            </w:r>
          </w:p>
        </w:tc>
        <w:tc>
          <w:tcPr>
            <w:tcW w:w="1234" w:type="dxa"/>
            <w:shd w:val="clear" w:color="auto" w:fill="FFFFFF"/>
          </w:tcPr>
          <w:p w14:paraId="3BB0E49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20855467" w14:textId="77777777">
        <w:tc>
          <w:tcPr>
            <w:tcW w:w="1234" w:type="dxa"/>
            <w:shd w:val="clear" w:color="auto" w:fill="EAF3EE"/>
          </w:tcPr>
          <w:p w14:paraId="2DDBFF3A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AM-2</w:t>
            </w:r>
          </w:p>
        </w:tc>
        <w:tc>
          <w:tcPr>
            <w:tcW w:w="1234" w:type="dxa"/>
            <w:shd w:val="clear" w:color="auto" w:fill="EAF3EE"/>
          </w:tcPr>
          <w:p w14:paraId="6BDB176E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Ch.19 §19.2 (table row), new §19.2A, §19.7, §19.8</w:t>
            </w:r>
          </w:p>
        </w:tc>
        <w:tc>
          <w:tcPr>
            <w:tcW w:w="1234" w:type="dxa"/>
            <w:shd w:val="clear" w:color="auto" w:fill="EAF3EE"/>
          </w:tcPr>
          <w:p w14:paraId="4F1EBC1D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ARGUS orchestration architecture (Model Gateway, Tool Gateway, Grounding, Authorization Filtering, No Elevated Access) did not recognize agent discovery or Dynamic Agent Synthesis.</w:t>
            </w:r>
          </w:p>
        </w:tc>
        <w:tc>
          <w:tcPr>
            <w:tcW w:w="1234" w:type="dxa"/>
            <w:shd w:val="clear" w:color="auto" w:fill="EAF3EE"/>
          </w:tcPr>
          <w:p w14:paraId="692386C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Added a Principal Components row and new §19.2A describing ARGUS's 5-step consumption of Registered/Ephemeral agents; added a Security Controls bullet (no elevated access via synthesis) and a Failure Modes bullet (Agent Factory/VPF unavailable).</w:t>
            </w:r>
          </w:p>
        </w:tc>
        <w:tc>
          <w:tcPr>
            <w:tcW w:w="1234" w:type="dxa"/>
            <w:shd w:val="clear" w:color="auto" w:fill="EAF3EE"/>
          </w:tcPr>
          <w:p w14:paraId="12F5EC11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NCIE-007 v1.1 Ch.11 §11.3, §11.9</w:t>
            </w:r>
          </w:p>
        </w:tc>
        <w:tc>
          <w:tcPr>
            <w:tcW w:w="1234" w:type="dxa"/>
            <w:shd w:val="clear" w:color="auto" w:fill="EAF3EE"/>
          </w:tcPr>
          <w:p w14:paraId="7F6DFA00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ARGUS's orchestration boundary needed to recognize the approved Dynamic Agent Synthesis capability without becoming its detailed lifecycle chapter.</w:t>
            </w:r>
          </w:p>
        </w:tc>
        <w:tc>
          <w:tcPr>
            <w:tcW w:w="1234" w:type="dxa"/>
            <w:shd w:val="clear" w:color="auto" w:fill="EAF3EE"/>
          </w:tcPr>
          <w:p w14:paraId="391CCA30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745D6132" w14:textId="77777777">
        <w:tc>
          <w:tcPr>
            <w:tcW w:w="1234" w:type="dxa"/>
            <w:shd w:val="clear" w:color="auto" w:fill="FFFFFF"/>
          </w:tcPr>
          <w:p w14:paraId="3603B967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AM-3</w:t>
            </w:r>
          </w:p>
        </w:tc>
        <w:tc>
          <w:tcPr>
            <w:tcW w:w="1234" w:type="dxa"/>
            <w:shd w:val="clear" w:color="auto" w:fill="FFFFFF"/>
          </w:tcPr>
          <w:p w14:paraId="47EC70EB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Ch.20 new §20.3A, §20.13</w:t>
            </w:r>
          </w:p>
        </w:tc>
        <w:tc>
          <w:tcPr>
            <w:tcW w:w="1234" w:type="dxa"/>
            <w:shd w:val="clear" w:color="auto" w:fill="FFFFFF"/>
          </w:tcPr>
          <w:p w14:paraId="54B4D2AB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Collaborative roles described generically as ‘NCIE’ participation; no agent-realization statement.</w:t>
            </w:r>
          </w:p>
        </w:tc>
        <w:tc>
          <w:tcPr>
            <w:tcW w:w="1234" w:type="dxa"/>
            <w:shd w:val="clear" w:color="auto" w:fill="FFFFFF"/>
          </w:tcPr>
          <w:p w14:paraId="3802C828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Added §20.3A stating collaborative roles may be realized via Registered or Ephemeral Synthesized Agents, remaining subordinate; added one bullet to the §20.13 cross-chapter invariants list.</w:t>
            </w:r>
          </w:p>
        </w:tc>
        <w:tc>
          <w:tcPr>
            <w:tcW w:w="1234" w:type="dxa"/>
            <w:shd w:val="clear" w:color="auto" w:fill="FFFFFF"/>
          </w:tcPr>
          <w:p w14:paraId="5DC57ECC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NCIE-007 v1.1 Ch.15</w:t>
            </w:r>
          </w:p>
        </w:tc>
        <w:tc>
          <w:tcPr>
            <w:tcW w:w="1234" w:type="dxa"/>
            <w:shd w:val="clear" w:color="auto" w:fill="FFFFFF"/>
          </w:tcPr>
          <w:p w14:paraId="7C9E30E5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Minor consistency amendment only, per directive §6.</w:t>
            </w:r>
          </w:p>
        </w:tc>
        <w:tc>
          <w:tcPr>
            <w:tcW w:w="1234" w:type="dxa"/>
            <w:shd w:val="clear" w:color="auto" w:fill="FFFFFF"/>
          </w:tcPr>
          <w:p w14:paraId="5BC6CAC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519212BA" w14:textId="77777777">
        <w:tc>
          <w:tcPr>
            <w:tcW w:w="1234" w:type="dxa"/>
            <w:shd w:val="clear" w:color="auto" w:fill="EAF3EE"/>
          </w:tcPr>
          <w:p w14:paraId="3D66AA8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lastRenderedPageBreak/>
              <w:t>AM-4</w:t>
            </w:r>
          </w:p>
        </w:tc>
        <w:tc>
          <w:tcPr>
            <w:tcW w:w="1234" w:type="dxa"/>
            <w:shd w:val="clear" w:color="auto" w:fill="EAF3EE"/>
          </w:tcPr>
          <w:p w14:paraId="26A8141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Ch.24 §24.2 (table rows), new §24.4A (principal amendment), §24.9, §24.11</w:t>
            </w:r>
          </w:p>
        </w:tc>
        <w:tc>
          <w:tcPr>
            <w:tcW w:w="1234" w:type="dxa"/>
            <w:shd w:val="clear" w:color="auto" w:fill="EAF3EE"/>
          </w:tcPr>
          <w:p w14:paraId="1916BE06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AI Platform architecture covered Model Gateway, Context Builder, Guardrails, Model Registry, Evaluation Harness and the v0.4 collaborative-evaluation components only.</w:t>
            </w:r>
          </w:p>
        </w:tc>
        <w:tc>
          <w:tcPr>
            <w:tcW w:w="1234" w:type="dxa"/>
            <w:shd w:val="clear" w:color="auto" w:fill="EAF3EE"/>
          </w:tcPr>
          <w:p w14:paraId="1884AA9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Added 4 new component rows; inserted new §24.4A with 10 numbered sub-sections (Agent Factory, Agent Registry/Capability Registry, Ephemeral Agent Runtime, VPF, Gate A, Gate B, VPF Profile Registry, Control Plane/Execution Plane with a relationship diagram, 3 architectural flow diagrams, and a Gateway/Memory/Authority/Recursion preservation section); added 3 Failure Modes bullets and 1 Acceptance Criteria bullet.</w:t>
            </w:r>
          </w:p>
        </w:tc>
        <w:tc>
          <w:tcPr>
            <w:tcW w:w="1234" w:type="dxa"/>
            <w:shd w:val="clear" w:color="auto" w:fill="EAF3EE"/>
          </w:tcPr>
          <w:p w14:paraId="34916ED3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NCIE-001 v1.3 §12.80A, §18.241A; NCIE-007 v1.1 Ch.11, Ch.12, Ch.26</w:t>
            </w:r>
          </w:p>
        </w:tc>
        <w:tc>
          <w:tcPr>
            <w:tcW w:w="1234" w:type="dxa"/>
            <w:shd w:val="clear" w:color="auto" w:fill="EAF3EE"/>
          </w:tcPr>
          <w:p w14:paraId="4A5553D1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The principal architectural amendment — Chapter 24 is the AI Platform chapter and had no logical home for Agent Factory, Ephemeral Agent Runtime, VPF or the Control/Execution Plane boundary.</w:t>
            </w:r>
          </w:p>
        </w:tc>
        <w:tc>
          <w:tcPr>
            <w:tcW w:w="1234" w:type="dxa"/>
            <w:shd w:val="clear" w:color="auto" w:fill="EAF3EE"/>
          </w:tcPr>
          <w:p w14:paraId="467D577C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51A41D20" w14:textId="77777777">
        <w:tc>
          <w:tcPr>
            <w:tcW w:w="1234" w:type="dxa"/>
            <w:shd w:val="clear" w:color="auto" w:fill="FFFFFF"/>
          </w:tcPr>
          <w:p w14:paraId="6BE54BE0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AM-5</w:t>
            </w:r>
          </w:p>
        </w:tc>
        <w:tc>
          <w:tcPr>
            <w:tcW w:w="1234" w:type="dxa"/>
            <w:shd w:val="clear" w:color="auto" w:fill="FFFFFF"/>
          </w:tcPr>
          <w:p w14:paraId="569CB63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Ch.28 §28.3 (table rows), §28.9</w:t>
            </w:r>
          </w:p>
        </w:tc>
        <w:tc>
          <w:tcPr>
            <w:tcW w:w="1234" w:type="dxa"/>
            <w:shd w:val="clear" w:color="auto" w:fill="FFFFFF"/>
          </w:tcPr>
          <w:p w14:paraId="5506BD0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Dependency Degradation Matrix covered AI/Model Gateway, RPA, Mapping and single-source loss only.</w:t>
            </w:r>
          </w:p>
        </w:tc>
        <w:tc>
          <w:tcPr>
            <w:tcW w:w="1234" w:type="dxa"/>
            <w:shd w:val="clear" w:color="auto" w:fill="FFFFFF"/>
          </w:tcPr>
          <w:p w14:paraId="7E8EDB6E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Added 4 new degradation-matrix rows (Agent Factory, Ephemeral Agent Runtime, VPF, Registry unavailable) and 1 Acceptance Criteria bullet (simulated VPF outage).</w:t>
            </w:r>
          </w:p>
        </w:tc>
        <w:tc>
          <w:tcPr>
            <w:tcW w:w="1234" w:type="dxa"/>
            <w:shd w:val="clear" w:color="auto" w:fill="FFFFFF"/>
          </w:tcPr>
          <w:p w14:paraId="4985110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NCIE-007 v1.1 Ch.32</w:t>
            </w:r>
          </w:p>
        </w:tc>
        <w:tc>
          <w:tcPr>
            <w:tcW w:w="1234" w:type="dxa"/>
            <w:shd w:val="clear" w:color="auto" w:fill="FFFFFF"/>
          </w:tcPr>
          <w:p w14:paraId="10EA51EC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The new AI orchestration components needed explicit degraded-mode behavior, including the VPF-FAILURE-SHALL-NOT-FAIL-OPEN invariant.</w:t>
            </w:r>
          </w:p>
        </w:tc>
        <w:tc>
          <w:tcPr>
            <w:tcW w:w="1234" w:type="dxa"/>
            <w:shd w:val="clear" w:color="auto" w:fill="FFFFFF"/>
          </w:tcPr>
          <w:p w14:paraId="08557632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3FF90C5B" w14:textId="77777777">
        <w:tc>
          <w:tcPr>
            <w:tcW w:w="1234" w:type="dxa"/>
            <w:shd w:val="clear" w:color="auto" w:fill="EAF3EE"/>
          </w:tcPr>
          <w:p w14:paraId="1FFE40F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AM-6</w:t>
            </w:r>
          </w:p>
        </w:tc>
        <w:tc>
          <w:tcPr>
            <w:tcW w:w="1234" w:type="dxa"/>
            <w:shd w:val="clear" w:color="auto" w:fill="EAF3EE"/>
          </w:tcPr>
          <w:p w14:paraId="780F5CF5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Ch.31 new §31.3A, §31.3B</w:t>
            </w:r>
          </w:p>
        </w:tc>
        <w:tc>
          <w:tcPr>
            <w:tcW w:w="1234" w:type="dxa"/>
            <w:shd w:val="clear" w:color="auto" w:fill="EAF3EE"/>
          </w:tcPr>
          <w:p w14:paraId="006E0E4E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Test layers and RTM structure did not name Dynamic Agent Synthesis or VPF acceptance criteria.</w:t>
            </w:r>
          </w:p>
        </w:tc>
        <w:tc>
          <w:tcPr>
            <w:tcW w:w="1234" w:type="dxa"/>
            <w:shd w:val="clear" w:color="auto" w:fill="EAF3EE"/>
          </w:tcPr>
          <w:p w14:paraId="19277E03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Added §31.3A (14 testable architecture-level acceptance scenarios) and §31.3B (the mandatory Human-Primary adversarial scenario).</w:t>
            </w:r>
          </w:p>
        </w:tc>
        <w:tc>
          <w:tcPr>
            <w:tcW w:w="1234" w:type="dxa"/>
            <w:shd w:val="clear" w:color="auto" w:fill="EAF3EE"/>
          </w:tcPr>
          <w:p w14:paraId="1B19EAFF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NCIE-007 v1.1 Ch.32</w:t>
            </w:r>
          </w:p>
        </w:tc>
        <w:tc>
          <w:tcPr>
            <w:tcW w:w="1234" w:type="dxa"/>
            <w:shd w:val="clear" w:color="auto" w:fill="EAF3EE"/>
          </w:tcPr>
          <w:p w14:paraId="4C58F691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Architecture-level acceptance scenarios were required per directive §17-18.</w:t>
            </w:r>
          </w:p>
        </w:tc>
        <w:tc>
          <w:tcPr>
            <w:tcW w:w="1234" w:type="dxa"/>
            <w:shd w:val="clear" w:color="auto" w:fill="EAF3EE"/>
          </w:tcPr>
          <w:p w14:paraId="0BF7E42B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58610E8F" w14:textId="77777777">
        <w:tc>
          <w:tcPr>
            <w:tcW w:w="1234" w:type="dxa"/>
            <w:shd w:val="clear" w:color="auto" w:fill="FFFFFF"/>
          </w:tcPr>
          <w:p w14:paraId="505BC48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AM-7</w:t>
            </w:r>
          </w:p>
        </w:tc>
        <w:tc>
          <w:tcPr>
            <w:tcW w:w="1234" w:type="dxa"/>
            <w:shd w:val="clear" w:color="auto" w:fill="FFFFFF"/>
          </w:tcPr>
          <w:p w14:paraId="6B8EE467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Ch.32 new §32.4A</w:t>
            </w:r>
          </w:p>
        </w:tc>
        <w:tc>
          <w:tcPr>
            <w:tcW w:w="1234" w:type="dxa"/>
            <w:shd w:val="clear" w:color="auto" w:fill="FFFFFF"/>
          </w:tcPr>
          <w:p w14:paraId="63DD2533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Handover Contents listed baseline documentation/runbook/backlog items only.</w:t>
            </w:r>
          </w:p>
        </w:tc>
        <w:tc>
          <w:tcPr>
            <w:tcW w:w="1234" w:type="dxa"/>
            <w:shd w:val="clear" w:color="auto" w:fill="FFFFFF"/>
          </w:tcPr>
          <w:p w14:paraId="35E8F10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 xml:space="preserve">Added §32.4A listing 14 required engineering deliverables (Agent Factory, Agent Definition implementation, Ephemeral Agent Runtime, Agent Registry integration, VPF runtime, VPF Profile Registry integration, Gate A, Gate B, Sandbox/Evaluation, Runtime-policy enforcement, Agent expiry, Kill/Suspend controls, Provenance, Observability) and the Codex runtime-boundary statement; added 1 Acceptance </w:t>
            </w:r>
            <w:r>
              <w:rPr>
                <w:rFonts w:ascii="Aptos" w:hAnsi="Aptos"/>
                <w:color w:val="2A2A2A"/>
                <w:sz w:val="16"/>
              </w:rPr>
              <w:lastRenderedPageBreak/>
              <w:t>Criteria bullet.</w:t>
            </w:r>
          </w:p>
        </w:tc>
        <w:tc>
          <w:tcPr>
            <w:tcW w:w="1234" w:type="dxa"/>
            <w:shd w:val="clear" w:color="auto" w:fill="FFFFFF"/>
          </w:tcPr>
          <w:p w14:paraId="4472F7FA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lastRenderedPageBreak/>
              <w:t>NCIE-001 v1.3 §18.241A; NCIE-007 v1.1 Ch.36 §36.7-§36.8</w:t>
            </w:r>
          </w:p>
        </w:tc>
        <w:tc>
          <w:tcPr>
            <w:tcW w:w="1234" w:type="dxa"/>
            <w:shd w:val="clear" w:color="auto" w:fill="FFFFFF"/>
          </w:tcPr>
          <w:p w14:paraId="099FFD47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The Codex/implementation handover needed to name the new engineering deliverables explicitly.</w:t>
            </w:r>
          </w:p>
        </w:tc>
        <w:tc>
          <w:tcPr>
            <w:tcW w:w="1234" w:type="dxa"/>
            <w:shd w:val="clear" w:color="auto" w:fill="FFFFFF"/>
          </w:tcPr>
          <w:p w14:paraId="59C43CE5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  <w:tr w:rsidR="007815EA" w14:paraId="0F2EBCFA" w14:textId="77777777">
        <w:tc>
          <w:tcPr>
            <w:tcW w:w="1234" w:type="dxa"/>
            <w:shd w:val="clear" w:color="auto" w:fill="EAF3EE"/>
          </w:tcPr>
          <w:p w14:paraId="1E7856F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AM-DOC</w:t>
            </w:r>
          </w:p>
        </w:tc>
        <w:tc>
          <w:tcPr>
            <w:tcW w:w="1234" w:type="dxa"/>
            <w:shd w:val="clear" w:color="auto" w:fill="EAF3EE"/>
          </w:tcPr>
          <w:p w14:paraId="09AD4BD4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Document Governance / Cover / New §1.8</w:t>
            </w:r>
          </w:p>
        </w:tc>
        <w:tc>
          <w:tcPr>
            <w:tcW w:w="1234" w:type="dxa"/>
            <w:shd w:val="clear" w:color="auto" w:fill="EAF3EE"/>
          </w:tcPr>
          <w:p w14:paraId="5842AE6D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Cover showed Version 0.4, Production-ready.</w:t>
            </w:r>
          </w:p>
        </w:tc>
        <w:tc>
          <w:tcPr>
            <w:tcW w:w="1234" w:type="dxa"/>
            <w:shd w:val="clear" w:color="auto" w:fill="EAF3EE"/>
          </w:tcPr>
          <w:p w14:paraId="112A5E1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Cover updated to Version 0.5, IN DEVELOPMENT / FOR HUMAN REVIEW OF SURGICAL AMENDMENT; added §1.8 Document Amendment History preserving the v0.4 baseline record.</w:t>
            </w:r>
          </w:p>
        </w:tc>
        <w:tc>
          <w:tcPr>
            <w:tcW w:w="1234" w:type="dxa"/>
            <w:shd w:val="clear" w:color="auto" w:fill="EAF3EE"/>
          </w:tcPr>
          <w:p w14:paraId="21689809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Administrative (directive §22)</w:t>
            </w:r>
          </w:p>
        </w:tc>
        <w:tc>
          <w:tcPr>
            <w:tcW w:w="1234" w:type="dxa"/>
            <w:shd w:val="clear" w:color="auto" w:fill="EAF3EE"/>
          </w:tcPr>
          <w:p w14:paraId="449D5887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Required change-control record.</w:t>
            </w:r>
          </w:p>
        </w:tc>
        <w:tc>
          <w:tcPr>
            <w:tcW w:w="1234" w:type="dxa"/>
            <w:shd w:val="clear" w:color="auto" w:fill="EAF3EE"/>
          </w:tcPr>
          <w:p w14:paraId="635A02EA" w14:textId="77777777" w:rsidR="007815EA" w:rsidRDefault="00D56841">
            <w:r>
              <w:rPr>
                <w:rFonts w:ascii="Aptos" w:hAnsi="Aptos"/>
                <w:color w:val="2A2A2A"/>
                <w:sz w:val="16"/>
              </w:rPr>
              <w:t>APPLIED</w:t>
            </w:r>
          </w:p>
        </w:tc>
      </w:tr>
    </w:tbl>
    <w:p w14:paraId="0F1480DD" w14:textId="77777777" w:rsidR="007815EA" w:rsidRDefault="007815EA"/>
    <w:p w14:paraId="20A0610C" w14:textId="77777777" w:rsidR="007815EA" w:rsidRDefault="00D56841">
      <w:pPr>
        <w:spacing w:before="240" w:after="120"/>
      </w:pPr>
      <w:r>
        <w:rPr>
          <w:rFonts w:ascii="Aptos" w:hAnsi="Aptos"/>
          <w:b/>
          <w:color w:val="0B3D2E"/>
          <w:sz w:val="26"/>
        </w:rPr>
        <w:t>Traceability Convention</w:t>
      </w:r>
    </w:p>
    <w:p w14:paraId="43B7DD21" w14:textId="77777777" w:rsidR="007815EA" w:rsidRDefault="00D56841">
      <w:pPr>
        <w:spacing w:after="120"/>
      </w:pPr>
      <w:r>
        <w:rPr>
          <w:rFonts w:ascii="Aptos" w:hAnsi="Aptos"/>
          <w:color w:val="2A2A2A"/>
          <w:sz w:val="20"/>
        </w:rPr>
        <w:t>Every new/modified requirement traces to NCIE-001 v1.3 (§12.77-§12.80A, §18.241A) and/or NCIE-007 v1.1, using each chapter's existing Traceability line — no new or competing traceability scheme was introduced.</w:t>
      </w:r>
    </w:p>
    <w:p w14:paraId="7FAB17AC" w14:textId="77777777" w:rsidR="007815EA" w:rsidRDefault="00D56841">
      <w:pPr>
        <w:spacing w:before="240" w:after="120"/>
      </w:pPr>
      <w:r>
        <w:rPr>
          <w:rFonts w:ascii="Aptos" w:hAnsi="Aptos"/>
          <w:b/>
          <w:color w:val="0B3D2E"/>
          <w:sz w:val="26"/>
        </w:rPr>
        <w:t>Additional Consistency Amendments Found (Directive §25 Search)</w:t>
      </w:r>
    </w:p>
    <w:p w14:paraId="61B815C5" w14:textId="77777777" w:rsidR="007815EA" w:rsidRDefault="00D56841">
      <w:pPr>
        <w:spacing w:after="120"/>
      </w:pPr>
      <w:r>
        <w:rPr>
          <w:rFonts w:ascii="Aptos" w:hAnsi="Aptos"/>
          <w:color w:val="2A2A2A"/>
          <w:sz w:val="20"/>
        </w:rPr>
        <w:t>A full-document keyword search for the nine listed stale-statement patterns (registered-agents-only; bespoke-Codex-required; ARGUS-cannot-request-synthesis; AI-output-bypasses-VPF; VPF-as-approval; arbitrary-provider-access; direct-consequential-system-access; self-registering synthesized agents; Agent-Factory-failure-disables-deterministic-NCIE) found 22 matches, all originating from this amendment's own new content correctly stating the non-contradictory architecture (e.g. ‘AGENT SYNTHESIS ≠ SELF-REGISTRA</w:t>
      </w:r>
      <w:r>
        <w:rPr>
          <w:rFonts w:ascii="Aptos" w:hAnsi="Aptos"/>
          <w:color w:val="2A2A2A"/>
          <w:sz w:val="20"/>
        </w:rPr>
        <w:t>TION’, ‘never AGENT → ARBITRARY PROVIDER’). No pre-existing stale or contradicting statement was found. No additional surgical consistency amendment was required.</w:t>
      </w:r>
    </w:p>
    <w:sectPr w:rsidR="00781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908876">
    <w:abstractNumId w:val="8"/>
  </w:num>
  <w:num w:numId="2" w16cid:durableId="2097556505">
    <w:abstractNumId w:val="6"/>
  </w:num>
  <w:num w:numId="3" w16cid:durableId="1741244761">
    <w:abstractNumId w:val="5"/>
  </w:num>
  <w:num w:numId="4" w16cid:durableId="1722947256">
    <w:abstractNumId w:val="4"/>
  </w:num>
  <w:num w:numId="5" w16cid:durableId="1097949420">
    <w:abstractNumId w:val="7"/>
  </w:num>
  <w:num w:numId="6" w16cid:durableId="584146515">
    <w:abstractNumId w:val="3"/>
  </w:num>
  <w:num w:numId="7" w16cid:durableId="454719032">
    <w:abstractNumId w:val="2"/>
  </w:num>
  <w:num w:numId="8" w16cid:durableId="1531606199">
    <w:abstractNumId w:val="1"/>
  </w:num>
  <w:num w:numId="9" w16cid:durableId="192946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5EA"/>
    <w:rsid w:val="009648C9"/>
    <w:rsid w:val="00AA1D8D"/>
    <w:rsid w:val="00B47730"/>
    <w:rsid w:val="00CB0664"/>
    <w:rsid w:val="00D44194"/>
    <w:rsid w:val="00D56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29A5B"/>
  <w14:defaultImageDpi w14:val="300"/>
  <w15:docId w15:val="{FFF6B079-E558-49DC-AA4C-BA814AFE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5063</Characters>
  <Application>Microsoft Office Word</Application>
  <DocSecurity>0</DocSecurity>
  <Lines>331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Clive E. Barton-Odro</cp:lastModifiedBy>
  <cp:revision>2</cp:revision>
  <dcterms:created xsi:type="dcterms:W3CDTF">2013-12-23T23:15:00Z</dcterms:created>
  <dcterms:modified xsi:type="dcterms:W3CDTF">2026-09-03T04:42:00Z</dcterms:modified>
  <cp:category/>
</cp:coreProperties>
</file>