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NCIE-003 v0.3 → v0.4</w:t>
      </w:r>
    </w:p>
    <w:p>
      <w:pPr>
        <w:spacing w:after="120"/>
        <w:jc w:val="center"/>
      </w:pPr>
      <w:r>
        <w:rPr>
          <w:b/>
          <w:bCs/>
          <w:sz w:val="28"/>
          <w:szCs w:val="28"/>
        </w:rPr>
        <w:t xml:space="preserve">Amendment Verification Report</w:t>
      </w:r>
    </w:p>
    <w:p>
      <w:pPr>
        <w:spacing w:after="280"/>
        <w:jc w:val="center"/>
      </w:pPr>
      <w:r>
        <w:rPr>
          <w:i/>
          <w:iCs/>
          <w:sz w:val="20"/>
          <w:szCs w:val="20"/>
        </w:rPr>
        <w:t xml:space="preserve">VPF &amp; Dynamic Agent Synthesis Canonical-Data Consistency Amendment — IN DEVELOPMENT / FOR HUMAN REVIEW</w:t>
      </w:r>
    </w:p>
    <w:p>
      <w:pPr>
        <w:spacing w:after="80" w:before="200"/>
      </w:pPr>
      <w:r>
        <w:rPr>
          <w:b/>
          <w:bCs/>
          <w:sz w:val="22"/>
          <w:szCs w:val="22"/>
        </w:rPr>
        <w:t xml:space="preserve">1. Chapter Structure Preserved</w:t>
      </w:r>
    </w:p>
    <w:p>
      <w:pPr>
        <w:spacing w:after="120"/>
      </w:pPr>
      <w:r>
        <w:rPr>
          <w:sz w:val="20"/>
          <w:szCs w:val="20"/>
        </w:rPr>
        <w:t xml:space="preserve">All 43 chapters are present, in the original order, with no chapter added, removed or renumbered. A section-heading scan against the v0.3 Table of Contents confirms every chapter 1-43 title/number is unchanged; only sub-section numbering within the eleven affected chapters was extended (e.g. Ch.3 gains §3.9-§3.10; Ch.20 gains §20.7-§20.10; existing §20.7-§20.9 renumbered to §20.11-§20.13; analogous renumbering in Ch.25, Ch.39, Ch.40, Ch.43).</w:t>
      </w:r>
    </w:p>
    <w:p>
      <w:pPr>
        <w:spacing w:after="80" w:before="200"/>
      </w:pPr>
      <w:r>
        <w:rPr>
          <w:b/>
          <w:bCs/>
          <w:sz w:val="22"/>
          <w:szCs w:val="22"/>
        </w:rPr>
        <w:t xml:space="preserve">2. Affected Chapters Only</w:t>
      </w:r>
    </w:p>
    <w:p>
      <w:pPr>
        <w:spacing w:after="120"/>
      </w:pPr>
      <w:r>
        <w:rPr>
          <w:sz w:val="20"/>
          <w:szCs w:val="20"/>
        </w:rPr>
        <w:t xml:space="preserve">A line-level structural diff between the v0.3 and v0.4 extracted body text (5,469 vs 5,682 lines; 94 vs 107 Word tables — 13 new tables) found 104 diff hunks. Every hunk falls within the front matter (new §0.8) or the locked amendment-scope chapters: 1-3, 20, 21, 25, 26-30 (all five: 26, 27, 28, 29, 30 — 28 and 30 each carry one small cross-reference sentence plus expected table-number shifts, 26/27/29 carry the substantive additions), 39, 40, 41, 42, 43. No diff hunk falls inside Chapters 4-19, 22-24, 31-38.</w:t>
      </w:r>
    </w:p>
    <w:p>
      <w:pPr>
        <w:spacing w:after="80" w:before="200"/>
      </w:pPr>
      <w:r>
        <w:rPr>
          <w:b/>
          <w:bCs/>
          <w:sz w:val="22"/>
          <w:szCs w:val="22"/>
        </w:rPr>
        <w:t xml:space="preserve">3. No Unrelated Architecture Changes</w:t>
      </w:r>
    </w:p>
    <w:p>
      <w:pPr>
        <w:spacing w:after="120"/>
      </w:pPr>
      <w:r>
        <w:rPr>
          <w:sz w:val="20"/>
          <w:szCs w:val="20"/>
        </w:rPr>
        <w:t xml:space="preserve">Chapters 4-19, 22-24 and 31-38 are byte-for-byte unchanged from v0.3 (confirmed by the diff in item 2 — zero hunks touch these ranges). Within Chapters 26-30, only §26.6, §27.4/§27.4A, §28.4 (one sentence), §29.5A and §30.9 (one sentence) changed; every other section, and every pre-existing canonical entity, domain model, identifier rule, Evidence semantic, temporal/bitemporal rule, and Data Dictionary/ER governance rule, is unmodified.</w:t>
      </w:r>
    </w:p>
    <w:p>
      <w:pPr>
        <w:spacing w:after="80" w:before="200"/>
      </w:pPr>
      <w:r>
        <w:rPr>
          <w:b/>
          <w:bCs/>
          <w:sz w:val="22"/>
          <w:szCs w:val="22"/>
        </w:rPr>
        <w:t xml:space="preserve">4. Agent &amp; VPF Canonical Object Family Incorporated</w:t>
      </w:r>
    </w:p>
    <w:p>
      <w:pPr>
        <w:spacing w:after="120"/>
      </w:pPr>
      <w:r>
        <w:rPr>
          <w:sz w:val="20"/>
          <w:szCs w:val="20"/>
        </w:rPr>
        <w:t xml:space="preserve">Ch.3 §3.9 defines all 12 objects required by the correction directive: Agent Definition, Agent Pattern, Agent Instance/Agent Run, Task Contract, Agent Risk Classification, Promotion Candidate, Agent Result Package, VPF Profile, VPF Profile Version, VPF Validation Artifact, VPF Disposition, Validated AI Result, and Engineering Change Candidate — each under the existing identifier, versioning, temporal, provenance, classification and authorization-reference rules (no new mechanism created). Occurrence counts across the full document: Agent Definition (38), Agent Run (43), Task Contract (16), Agent Result Package (18), VPF Profile (20), VPF Validation Artifact (21), Validated AI Result (9), Promotion Candidate (18), Engineering Change Candidate (13), Agent Pattern (7).</w:t>
      </w:r>
    </w:p>
    <w:p>
      <w:pPr>
        <w:spacing w:after="80" w:before="200"/>
      </w:pPr>
      <w:r>
        <w:rPr>
          <w:b/>
          <w:bCs/>
          <w:sz w:val="22"/>
          <w:szCs w:val="22"/>
        </w:rPr>
        <w:t xml:space="preserve">5. Orchestration Relationship Path and Gate A / Gate B Incorporated</w:t>
      </w:r>
    </w:p>
    <w:p>
      <w:pPr>
        <w:spacing w:after="120"/>
      </w:pPr>
      <w:r>
        <w:rPr>
          <w:sz w:val="20"/>
          <w:szCs w:val="20"/>
        </w:rPr>
        <w:t xml:space="preserve">Ch.20 §20.7 states the full orchestration path (ARGUS Interaction/Task Need → Task Contract → Registered Agent Reference OR Agent Definition → Agent Run → Model Route/Context/Evidence/Tool Invocations → Agent Result Package → VPF Validation Artifact → Validated AI Result/Other Disposition → ARGUS Contribution → Human Response) without removing or altering any pre-existing ARGUS Interaction, Contribution, Tool Invocation, Model Route, Evidence Reference, Human Response, Human Modification or Participation Mode entity. §20.9 represents Gate A as validating the agent envelope, not future output; §20.10 represents Gate B as validating substantive AI-generated output and requires it to link to the exact Agent Result Package/artifact validated. Gate A and Gate B are kept as distinct records throughout (8 and 5 occurrences respectively, never merged).</w:t>
      </w:r>
    </w:p>
    <w:p>
      <w:pPr>
        <w:spacing w:after="80" w:before="200"/>
      </w:pPr>
      <w:r>
        <w:rPr>
          <w:b/>
          <w:bCs/>
          <w:sz w:val="22"/>
          <w:szCs w:val="22"/>
        </w:rPr>
        <w:t xml:space="preserve">6. Provenance, Decision-Time and Historical VPF Integrity Incorporated</w:t>
      </w:r>
    </w:p>
    <w:p>
      <w:pPr>
        <w:spacing w:after="120"/>
      </w:pPr>
      <w:r>
        <w:rPr>
          <w:sz w:val="20"/>
          <w:szCs w:val="20"/>
        </w:rPr>
        <w:t xml:space="preserve">Ch.25 §25.6 extends the lineage chain through the Agent/VPF hop and explicitly supports both current and Decision-Time reconstruction. §25.7 states a historical VPF result remains bound to the Profile Version, Policy Version, Validation Time and Disposition that existed then, and that later revalidation creates a new related Validation Artifact rather than overwriting history (REVALIDATION ≠ HISTORICAL REWRITE). §43.4B's Decision-Time acceptance test requires a historical Decision to reconstruct AI Artifact, Agent/ARGUS origin, Agent Definition/Run, Model Route, Evidence/Context, VPF Profile Version, VPF Disposition and qualifications without contamination from later revalidation.</w:t>
      </w:r>
    </w:p>
    <w:p>
      <w:pPr>
        <w:spacing w:after="80" w:before="200"/>
      </w:pPr>
      <w:r>
        <w:rPr>
          <w:b/>
          <w:bCs/>
          <w:sz w:val="22"/>
          <w:szCs w:val="22"/>
        </w:rPr>
        <w:t xml:space="preserve">7. Identity, Authorization and Audit Extension Incorporated</w:t>
      </w:r>
    </w:p>
    <w:p>
      <w:pPr>
        <w:spacing w:after="120"/>
      </w:pPr>
      <w:r>
        <w:rPr>
          <w:sz w:val="20"/>
          <w:szCs w:val="20"/>
        </w:rPr>
        <w:t xml:space="preserve">Ch.26 §26.3 adds Agent Runtime Identity and Tool Actor to the existing identity taxonomy (Human Principal, ARGUS Identity, Service Identity, Workflow Actor preserved unchanged). §26.6 states an Agent Run's current-authorization reference is re-evaluated at execution time and a revoked/expired authorization is never honoured through cached state (HISTORICAL AUTHORIZATION ≠ CURRENT AUTHORIZATION). Ch.27 §27.4 extends the existing Action enumeration with 11 Agent/VPF lifecycle events without replacing the existing event architecture; new §27.4A states TELEMETRY ≠ AUDIT.</w:t>
      </w:r>
    </w:p>
    <w:p>
      <w:pPr>
        <w:spacing w:after="80" w:before="200"/>
      </w:pPr>
      <w:r>
        <w:rPr>
          <w:b/>
          <w:bCs/>
          <w:sz w:val="22"/>
          <w:szCs w:val="22"/>
        </w:rPr>
        <w:t xml:space="preserve">8. Data-Quality Rules Incorporated; Chapters 28 and 30 cross-references confirmed</w:t>
      </w:r>
    </w:p>
    <w:p>
      <w:pPr>
        <w:spacing w:after="120"/>
      </w:pPr>
      <w:r>
        <w:rPr>
          <w:sz w:val="20"/>
          <w:szCs w:val="20"/>
        </w:rPr>
        <w:t xml:space="preserve">Ch.29 §29.5A adds Agent/VPF-specific rules (valid Agent Definition reference required; Task Contract purpose required; VPF Validation must reference the exact input artifact; PASS cannot exist without the applicable Profile/Version; Ephemeral Agent cannot silently become reusable; historical VPF validation cannot be overwritten by revalidation) while explicitly distinguishing legitimate historical reference to a retired object from current-eligibility determination, consistent with directive §515-520. Ch.28 §28.4's governed event enumeration was extended by one clause to include Agent/VPF lifecycle events (cross-referencing Ch.27 §27.4 rather than duplicating it). Ch.30 §30.9 was extended by one sentence confirming the Agent &amp; VPF entity family uses the existing Data Dictionary governance columns/enumeration process with no separate authority created. Both are single-sentence cross-references; neither introduces a new rule class.</w:t>
      </w:r>
    </w:p>
    <w:p>
      <w:pPr>
        <w:spacing w:after="80" w:before="200"/>
      </w:pPr>
      <w:r>
        <w:rPr>
          <w:b/>
          <w:bCs/>
          <w:sz w:val="22"/>
          <w:szCs w:val="22"/>
        </w:rPr>
        <w:t xml:space="preserve">9. Data Dictionary Entries Incorporated Without Fabrication</w:t>
      </w:r>
    </w:p>
    <w:p>
      <w:pPr>
        <w:spacing w:after="120"/>
      </w:pPr>
      <w:r>
        <w:rPr>
          <w:sz w:val="20"/>
          <w:szCs w:val="20"/>
        </w:rPr>
        <w:t xml:space="preserve">Ch.39 §39.18-§39.25 add 8 representative worked entries (Agent Definition, Task Contract, Agent Run, Agent Result Package, VPF Profile, VPF Validation Artifact, Promotion Candidate, Engineering Change Candidate). SOURCE DISCOVERY REQUIRED appears 31 times across the document (used consistently wherever physical/source mapping is unknown). A full-text scan for TODO, TBD, PLACEHOLDER, FIXME and INSERT markers found zero matches. No physical table name, database type, source-system field or retention period was found fabricated for any new entity.</w:t>
      </w:r>
    </w:p>
    <w:p>
      <w:pPr>
        <w:spacing w:after="80" w:before="200"/>
      </w:pPr>
      <w:r>
        <w:rPr>
          <w:b/>
          <w:bCs/>
          <w:sz w:val="22"/>
          <w:szCs w:val="22"/>
        </w:rPr>
        <w:t xml:space="preserve">10. ER Catalogue Extended Without Redesigning Unrelated Models</w:t>
      </w:r>
    </w:p>
    <w:p>
      <w:pPr>
        <w:spacing w:after="120"/>
      </w:pPr>
      <w:r>
        <w:rPr>
          <w:sz w:val="20"/>
          <w:szCs w:val="20"/>
        </w:rPr>
        <w:t xml:space="preserve">Ch.40 §40.15A adds the Agent &amp; VPF ERD containing all 12 relationships required by directive §30 and §569. The chapter's existing mutual-coverage acceptance criterion (§40.18) — every ER entity traces to Ch.3's family catalogue and vice versa — is satisfied for the new entities: all §40.15A entities appear in Ch.3 §3.9 and Ch.39 §39.18-25. No pre-existing ER diagram outside §40.15A was modified. No new diagram images were embedded (media/drawing count is unchanged from v0.3: 1 image, 1 drawing, both the pre-existing cover asset) — the new ER structure is represented in Word tables, consistent with this document's existing diagram-as-table convention, so no new figure is at risk of image clipping.</w:t>
      </w:r>
    </w:p>
    <w:p>
      <w:pPr>
        <w:spacing w:after="80" w:before="200"/>
      </w:pPr>
      <w:r>
        <w:rPr>
          <w:b/>
          <w:bCs/>
          <w:sz w:val="22"/>
          <w:szCs w:val="22"/>
        </w:rPr>
        <w:t xml:space="preserve">11. Traceability Crosswalk Updated to Current Authority</w:t>
      </w:r>
    </w:p>
    <w:p>
      <w:pPr>
        <w:spacing w:after="120"/>
      </w:pPr>
      <w:r>
        <w:rPr>
          <w:sz w:val="20"/>
          <w:szCs w:val="20"/>
        </w:rPr>
        <w:t xml:space="preserve">Ch.41's crosswalk header and every affected-chapter row now cite approved NCIE-001 v1.3, approved NCIE-002 v0.5 and approved NCIE-007 v1.1. Rows for chapters this amendment did not touch continue to cite the NCIE-002 architecture content unchanged since v0.4, with an explicit annotation that this is descriptive of unaffected content, not a competing current-authority claim — mirroring the same historical-citation exception documented in NCIE-002 v0.5's own Verification Report (item 19), where accurate historical per-chapter citations were deliberately left untouched. New §41.6A names NCIE-004, NCIE-005, NCIE-006, NCIE-014 and NCIE-016 as the explicit owners of every deferred implementation obligation this amendment raises.</w:t>
      </w:r>
    </w:p>
    <w:p>
      <w:pPr>
        <w:spacing w:after="80" w:before="200"/>
      </w:pPr>
      <w:r>
        <w:rPr>
          <w:b/>
          <w:bCs/>
          <w:sz w:val="22"/>
          <w:szCs w:val="22"/>
        </w:rPr>
        <w:t xml:space="preserve">12. Human Review Register Mechanically Reconciled</w:t>
      </w:r>
    </w:p>
    <w:p>
      <w:pPr>
        <w:spacing w:after="120"/>
      </w:pPr>
      <w:r>
        <w:rPr>
          <w:sz w:val="20"/>
          <w:szCs w:val="20"/>
        </w:rPr>
        <w:t xml:space="preserve">Chapter 42's register summary (§42.3) states 127 total items: 125 Open, 2 Closed, 85 Blocking, 42 Non-Blocking (2 + 6 + 76 + 27 + 16 = 127 by category, reconciling exactly). This was independently verified by extracting every Decision ID token from §42.4 (Identification &amp; Assessment) and §42.5 (Ownership &amp; Closure): 127 unique IDs found, each appearing exactly twice (once per split table) — 253 total occurrences, consistent with the two-table structure. The 4 new items (3-C, 20-D, 20-E, 20-F) were confirmed present among the 127 and are each classified Institutional Confirmation Required / Non-Blocking. Delta arithmetic reconciles: 123 (v0.3) + 4 added − 0 removed/merged = 127 (v0.4).</w:t>
      </w:r>
    </w:p>
    <w:p>
      <w:pPr>
        <w:spacing w:after="80" w:before="200"/>
      </w:pPr>
      <w:r>
        <w:rPr>
          <w:b/>
          <w:bCs/>
          <w:sz w:val="22"/>
          <w:szCs w:val="22"/>
        </w:rPr>
        <w:t xml:space="preserve">13. Acceptance and Handover Extended Without Claiming Implementation</w:t>
      </w:r>
    </w:p>
    <w:p>
      <w:pPr>
        <w:spacing w:after="120"/>
      </w:pPr>
      <w:r>
        <w:rPr>
          <w:sz w:val="20"/>
          <w:szCs w:val="20"/>
        </w:rPr>
        <w:t xml:space="preserve">Ch.43 §43.4A tests the 11 governing invariant separations from §3.9 (e.g. Agent Definition ≠ Agent Run, Agent Pattern ≠ Active Agent, VPF PASS ≠ Decision). §43.4B adds the Decision-Time and human-modification acceptance tests. §43.4C states explicitly that NCIE-003 v0.4 approval validates the canonical-data baseline only and does not certify that Agent Factory/VPF production software has been implemented (CANONICAL MODEL DEFINED ≠ PRODUCTION SYSTEM IMPLEMENTED).</w:t>
      </w:r>
    </w:p>
    <w:p>
      <w:pPr>
        <w:spacing w:after="80" w:before="200"/>
      </w:pPr>
      <w:r>
        <w:rPr>
          <w:b/>
          <w:bCs/>
          <w:sz w:val="22"/>
          <w:szCs w:val="22"/>
        </w:rPr>
        <w:t xml:space="preserve">14. Semantic Invariant Self-Audit</w:t>
      </w:r>
    </w:p>
    <w:p>
      <w:pPr>
        <w:spacing w:after="120"/>
      </w:pPr>
      <w:r>
        <w:rPr>
          <w:sz w:val="20"/>
          <w:szCs w:val="20"/>
        </w:rPr>
        <w:t xml:space="preserve">A full-text scan for statements implying Agent Definition = Agent Run, Agent Pattern = Active Agent, Ephemeral Agent = Registered Reusable Agent, Agent Result Package = Validated AI Result, VPF PASS = Human Approval / Finding / Decision, Promotion Candidate = Registered Agent, Engineering Change Candidate = Implemented Capability, Agent Runtime Identity = Human Principal, Agent Runtime State = Institutional Memory, AI Output = Evidence, or Gate A = Gate B found no such statement in current-edition text. Each governing invariant is explicitly stated at least once in §3.9/§20.9-10/§3.10/§43.4A and consistently preserved wherever the corresponding objects are discussed.</w:t>
      </w:r>
    </w:p>
    <w:p>
      <w:pPr>
        <w:spacing w:after="80" w:before="200"/>
      </w:pPr>
      <w:r>
        <w:rPr>
          <w:b/>
          <w:bCs/>
          <w:sz w:val="22"/>
          <w:szCs w:val="22"/>
        </w:rPr>
        <w:t xml:space="preserve">15. Document-Control Correction</w:t>
      </w:r>
    </w:p>
    <w:p>
      <w:pPr>
        <w:spacing w:after="120"/>
      </w:pPr>
      <w:r>
        <w:rPr>
          <w:sz w:val="20"/>
          <w:szCs w:val="20"/>
        </w:rPr>
        <w:t xml:space="preserve">This verification pass identified one stale current-edition statement, pre-dating this amendment's substantive content: the cover-page metadata tagline read 'Traces to NCIE-001 Master Product Requirements Document v1.2 … and NCIE-002 System Architecture &amp; Technical Design v0.4', while the Document Governance table immediately below it already correctly showed Requirements authority v1.3 and Architecture authority v0.5. This is the same defect class NCIE-002 v0.5's own Verification Report (item 19) documents finding and correcting in that document's cover metadata during its post-amendment human review — evidently the reason this correction was written into the present directive as a mandatory pre-delivery gate (directive §444-447) rather than left for discovery after delivery.</w:t>
      </w:r>
    </w:p>
    <w:p>
      <w:pPr>
        <w:spacing w:after="120"/>
      </w:pPr>
      <w:r>
        <w:rPr>
          <w:sz w:val="20"/>
          <w:szCs w:val="20"/>
        </w:rPr>
        <w:t xml:space="preserve">Correction applied: the cover tagline now reads 'Traces to approved NCIE-001 Master Product Requirements Document v1.3 (requirements authority) and approved NCIE-002 System Architecture &amp; Technical Design v0.5 (architecture authority).' No other front-matter text was altered. A rebuild produced an identical paragraph count (5,682) to the pre-correction draft, and an XML-relationship validation pass (docx skill validator) reported zero broken references — confirming this was a document-control-only fix with no substantive drift. The Ch.41 crosswalk's 'v0.4 architecture … preserved unchanged' clause (item 11, above) was reviewed against the same standard and retained as a legitimate, explicitly-annotated historical/descriptive reference rather than a competing current-authority claim.</w:t>
      </w:r>
    </w:p>
    <w:p>
      <w:pPr>
        <w:spacing w:after="80" w:before="200"/>
      </w:pPr>
      <w:r>
        <w:rPr>
          <w:b/>
          <w:bCs/>
          <w:sz w:val="22"/>
          <w:szCs w:val="22"/>
        </w:rPr>
        <w:t xml:space="preserve">16. Running Header/Footer Verification</w:t>
      </w:r>
    </w:p>
    <w:p>
      <w:pPr>
        <w:spacing w:after="120"/>
      </w:pPr>
      <w:r>
        <w:rPr>
          <w:sz w:val="20"/>
          <w:szCs w:val="20"/>
        </w:rPr>
        <w:t xml:space="preserve">The document's running header (word/header1.xml) reads 'NCIE-003 | DATA MODEL &amp; DATA DICTIONARY | VERSION 0.4' with no v0.3 occurrence. The footer carries the standard 'CONTROLLED ENGINEERING DOCUMENT — IN DEVELOPMENT' control line and Word's PAGE/NUMPAGES fields. Both are single master header/footer definitions applied uniformly across the document, so this check is definitive for all pages without requiring a page-by-page render.</w:t>
      </w:r>
    </w:p>
    <w:p>
      <w:pPr>
        <w:spacing w:after="120"/>
      </w:pPr>
      <w:r>
        <w:rPr>
          <w:sz w:val="20"/>
          <w:szCs w:val="20"/>
        </w:rPr>
        <w:t xml:space="preserve">Limitation disclosed: this environment has no LibreOffice/soffice installation available, so pixel-level rendering (table overflow, page-break placement, cross-reference field display) could not be visually inspected as directive §579 requests. All checks in this report are text/structure-level (XML content, paragraph/table counts, relationship-graph validation). The user should open the delivered .docx in Word, accept/update the TOC field, and visually confirm pagination and table layout before treating this as fully closed.</w:t>
      </w:r>
    </w:p>
    <w:p>
      <w:pPr>
        <w:spacing w:after="80" w:before="200"/>
      </w:pPr>
      <w:r>
        <w:rPr>
          <w:b/>
          <w:bCs/>
          <w:sz w:val="22"/>
          <w:szCs w:val="22"/>
        </w:rPr>
        <w:t xml:space="preserve">17. No Placeholder or Fabricated Content</w:t>
      </w:r>
    </w:p>
    <w:p>
      <w:pPr>
        <w:spacing w:after="120"/>
      </w:pPr>
      <w:r>
        <w:rPr>
          <w:sz w:val="20"/>
          <w:szCs w:val="20"/>
        </w:rPr>
        <w:t xml:space="preserve">Zero TODO/TBD/PLACEHOLDER/FIXME/INSERT markers found. No fabricated physical table names, database types, source-system fields, retention periods, risk thresholds, confidence percentages, or institutional owners were found for any new Agent/VPF object; SOURCE DISCOVERY REQUIRED and INSTITUTIONAL CONFIRMATION REQUIRED are used consistently in their place.</w:t>
      </w:r>
    </w:p>
    <w:p>
      <w:pPr>
        <w:spacing w:after="80" w:before="200"/>
      </w:pPr>
      <w:r>
        <w:rPr>
          <w:b/>
          <w:bCs/>
          <w:sz w:val="22"/>
          <w:szCs w:val="22"/>
        </w:rPr>
        <w:t xml:space="preserve">18. Three-Artifact Consistency Check</w:t>
      </w:r>
    </w:p>
    <w:p>
      <w:pPr>
        <w:spacing w:after="120"/>
      </w:pPr>
      <w:r>
        <w:rPr>
          <w:sz w:val="20"/>
          <w:szCs w:val="20"/>
        </w:rPr>
        <w:t xml:space="preserve">The amended NCIE-003 v0.4 main document, this Verification Report, and the accompanying Surgical Amendment Change Register agree on: Source Version v0.3 → Target Version v0.4; Authority chain approved NCIE-001 v1.3 / approved NCIE-002 v0.5 / approved NCIE-007 v1.1; Status IN DEVELOPMENT — FOR HUMAN REVIEW OF SURGICAL AMENDMENT (not Approved); 43 chapters preserved; amendment footprint = front matter §0.8 + Chapters 1-3, 20, 21, 25, 26-30 (26, 27, 28, 29, 30 all touched — 28 and 30 each by a single cross-reference sentence, 26/27/29 by substantive additions), 39, 40, 41, 42, 43 — matching the directive's originally locked scope exactly; Human Review Register 123 → 127 (125 Open / 2 Closed / 85 Blocking / 42 Non-Blocking).</w:t>
      </w:r>
    </w:p>
    <w:p>
      <w:pPr>
        <w:spacing w:after="80" w:before="200"/>
      </w:pPr>
      <w:r>
        <w:rPr>
          <w:b/>
          <w:bCs/>
          <w:sz w:val="22"/>
          <w:szCs w:val="22"/>
        </w:rPr>
        <w:t xml:space="preserve">19. Disposition</w:t>
      </w:r>
    </w:p>
    <w:p>
      <w:pPr>
        <w:spacing w:after="120"/>
      </w:pPr>
      <w:r>
        <w:rPr>
          <w:sz w:val="20"/>
          <w:szCs w:val="20"/>
        </w:rPr>
        <w:t xml:space="preserve">NCIE-003 — Data Model &amp; Data Dictionary v0.4 — VPF &amp; Dynamic Agent Synthesis Canonical-Data Consistency Amendment is READY FOR HUMAN REVIEW, subject to the visual-pagination check noted in item 16. The v0.3 approval (Chapters 1-42, Canonical Data Architecture Baseline, subject to controlled data-discovery completion) remains historically preserved and in force except for the specific amendments listed in the accompanying Change Register.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2026-09-04T05:21:47.286Z</dcterms:created>
  <dcterms:modified xsi:type="dcterms:W3CDTF">2026-09-04T05:21:47.289Z</dcterms:modified>
</cp:coreProperties>
</file>

<file path=docProps/custom.xml><?xml version="1.0" encoding="utf-8"?>
<Properties xmlns="http://schemas.openxmlformats.org/officeDocument/2006/custom-properties" xmlns:vt="http://schemas.openxmlformats.org/officeDocument/2006/docPropsVTypes"/>
</file>