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jc w:val="center"/>
      </w:pPr>
      <w:r>
        <w:rPr>
          <w:b/>
          <w:bCs/>
          <w:sz w:val="32"/>
          <w:szCs w:val="32"/>
        </w:rPr>
        <w:t xml:space="preserve">NCIE-003 v0.3 → v0.4</w:t>
      </w:r>
    </w:p>
    <w:p>
      <w:pPr>
        <w:spacing w:after="120"/>
        <w:jc w:val="center"/>
      </w:pPr>
      <w:r>
        <w:rPr>
          <w:b/>
          <w:bCs/>
          <w:sz w:val="28"/>
          <w:szCs w:val="28"/>
        </w:rPr>
        <w:t xml:space="preserve">Surgical Amendment Change Register</w:t>
      </w:r>
    </w:p>
    <w:p>
      <w:pPr>
        <w:spacing w:after="200"/>
        <w:jc w:val="center"/>
      </w:pPr>
      <w:r>
        <w:rPr>
          <w:i/>
          <w:iCs/>
          <w:sz w:val="20"/>
          <w:szCs w:val="20"/>
        </w:rPr>
        <w:t xml:space="preserve">VPF &amp; Dynamic Agent Synthesis Canonical-Data Consistency Amendment — IN DEVELOPMENT / FOR HUMAN REVIEW</w:t>
      </w:r>
    </w:p>
    <w:p>
      <w:pPr>
        <w:spacing w:after="240"/>
      </w:pPr>
      <w:r>
        <w:rPr>
          <w:sz w:val="20"/>
          <w:szCs w:val="20"/>
        </w:rPr>
        <w:t xml:space="preserve">Authorities: Approved NCIE-001 — Master PRD v1.3, approved NCIE-002 — System Architecture &amp; Technical Design v0.5, and approved NCIE-007 — AI, Agent &amp; Model Orchestration Specification v1.1. The existing 43-chapter structure is unchanged; no chapter was added, removed or renumbered.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2F5496" w:color="auto" w:val="clear"/>
            <w:tcMar>
              <w:top w:type="dxa" w:w="60"/>
              <w:left w:type="dxa" w:w="80"/>
              <w:bottom w:type="dxa" w:w="60"/>
              <w:right w:type="dxa" w:w="80"/>
            </w:tcMar>
          </w:tcPr>
          <w:p>
            <w:r>
              <w:rPr>
                <w:b/>
                <w:bCs/>
                <w:color w:val="FFFFFF"/>
                <w:sz w:val="18"/>
                <w:szCs w:val="18"/>
              </w:rPr>
              <w:t xml:space="preserve">Amendment ID</w:t>
            </w:r>
          </w:p>
        </w:tc>
        <w:tc>
          <w:tcPr>
            <w:tcW w:type="dxa" w:w="1600"/>
            <w:shd w:fill="2F5496" w:color="auto" w:val="clear"/>
            <w:tcMar>
              <w:top w:type="dxa" w:w="60"/>
              <w:left w:type="dxa" w:w="80"/>
              <w:bottom w:type="dxa" w:w="60"/>
              <w:right w:type="dxa" w:w="80"/>
            </w:tcMar>
          </w:tcPr>
          <w:p>
            <w:r>
              <w:rPr>
                <w:b/>
                <w:bCs/>
                <w:color w:val="FFFFFF"/>
                <w:sz w:val="18"/>
                <w:szCs w:val="18"/>
              </w:rPr>
              <w:t xml:space="preserve">Chapter/Section</w:t>
            </w:r>
          </w:p>
        </w:tc>
        <w:tc>
          <w:tcPr>
            <w:tcW w:type="dxa" w:w="2650"/>
            <w:shd w:fill="2F5496" w:color="auto" w:val="clear"/>
            <w:tcMar>
              <w:top w:type="dxa" w:w="60"/>
              <w:left w:type="dxa" w:w="80"/>
              <w:bottom w:type="dxa" w:w="60"/>
              <w:right w:type="dxa" w:w="80"/>
            </w:tcMar>
          </w:tcPr>
          <w:p>
            <w:r>
              <w:rPr>
                <w:b/>
                <w:bCs/>
                <w:color w:val="FFFFFF"/>
                <w:sz w:val="18"/>
                <w:szCs w:val="18"/>
              </w:rPr>
              <w:t xml:space="preserve">Existing Architecture (v0.3)</w:t>
            </w:r>
          </w:p>
        </w:tc>
        <w:tc>
          <w:tcPr>
            <w:tcW w:type="dxa" w:w="3900"/>
            <w:shd w:fill="2F5496" w:color="auto" w:val="clear"/>
            <w:tcMar>
              <w:top w:type="dxa" w:w="60"/>
              <w:left w:type="dxa" w:w="80"/>
              <w:bottom w:type="dxa" w:w="60"/>
              <w:right w:type="dxa" w:w="80"/>
            </w:tcMar>
          </w:tcPr>
          <w:p>
            <w:r>
              <w:rPr>
                <w:b/>
                <w:bCs/>
                <w:color w:val="FFFFFF"/>
                <w:sz w:val="18"/>
                <w:szCs w:val="18"/>
              </w:rPr>
              <w:t xml:space="preserve">Amendment (v0.4)</w:t>
            </w:r>
          </w:p>
        </w:tc>
        <w:tc>
          <w:tcPr>
            <w:tcW w:type="dxa" w:w="1800"/>
            <w:shd w:fill="2F5496" w:color="auto" w:val="clear"/>
            <w:tcMar>
              <w:top w:type="dxa" w:w="60"/>
              <w:left w:type="dxa" w:w="80"/>
              <w:bottom w:type="dxa" w:w="60"/>
              <w:right w:type="dxa" w:w="80"/>
            </w:tcMar>
          </w:tcPr>
          <w:p>
            <w:r>
              <w:rPr>
                <w:b/>
                <w:bCs/>
                <w:color w:val="FFFFFF"/>
                <w:sz w:val="18"/>
                <w:szCs w:val="18"/>
              </w:rPr>
              <w:t xml:space="preserve">Authority</w:t>
            </w:r>
          </w:p>
        </w:tc>
        <w:tc>
          <w:tcPr>
            <w:tcW w:type="dxa" w:w="1800"/>
            <w:shd w:fill="2F5496" w:color="auto" w:val="clear"/>
            <w:tcMar>
              <w:top w:type="dxa" w:w="60"/>
              <w:left w:type="dxa" w:w="80"/>
              <w:bottom w:type="dxa" w:w="60"/>
              <w:right w:type="dxa" w:w="80"/>
            </w:tcMar>
          </w:tcPr>
          <w:p>
            <w:r>
              <w:rPr>
                <w:b/>
                <w:bCs/>
                <w:color w:val="FFFFFF"/>
                <w:sz w:val="18"/>
                <w:szCs w:val="18"/>
              </w:rPr>
              <w:t xml:space="preserve">Reason</w:t>
            </w:r>
          </w:p>
        </w:tc>
        <w:tc>
          <w:tcPr>
            <w:tcW w:type="dxa" w:w="1310"/>
            <w:shd w:fill="2F5496" w:color="auto" w:val="clear"/>
            <w:tcMar>
              <w:top w:type="dxa" w:w="60"/>
              <w:left w:type="dxa" w:w="80"/>
              <w:bottom w:type="dxa" w:w="60"/>
              <w:right w:type="dxa" w:w="80"/>
            </w:tcMar>
          </w:tcPr>
          <w:p>
            <w:r>
              <w:rPr>
                <w:b/>
                <w:bCs/>
                <w:color w:val="FFFFFF"/>
                <w:sz w:val="18"/>
                <w:szCs w:val="18"/>
              </w:rPr>
              <w:t xml:space="preserve">Status</w:t>
            </w:r>
          </w:p>
        </w:tc>
      </w:tr>
      <w:tr>
        <w:tc>
          <w:tcPr>
            <w:tcW w:type="dxa" w:w="900"/>
            <w:tcMar>
              <w:top w:type="dxa" w:w="60"/>
              <w:left w:type="dxa" w:w="80"/>
              <w:bottom w:type="dxa" w:w="60"/>
              <w:right w:type="dxa" w:w="80"/>
            </w:tcMar>
          </w:tcPr>
          <w:p>
            <w:r>
              <w:rPr>
                <w:b/>
                <w:bCs/>
                <w:sz w:val="18"/>
                <w:szCs w:val="18"/>
              </w:rPr>
              <w:t xml:space="preserve">AM-1</w:t>
            </w:r>
          </w:p>
        </w:tc>
        <w:tc>
          <w:tcPr>
            <w:tcW w:type="dxa" w:w="1600"/>
            <w:tcMar>
              <w:top w:type="dxa" w:w="60"/>
              <w:left w:type="dxa" w:w="80"/>
              <w:bottom w:type="dxa" w:w="60"/>
              <w:right w:type="dxa" w:w="80"/>
            </w:tcMar>
          </w:tcPr>
          <w:p>
            <w:r>
              <w:rPr>
                <w:b w:val="false"/>
                <w:bCs w:val="false"/>
                <w:sz w:val="18"/>
                <w:szCs w:val="18"/>
              </w:rPr>
              <w:t xml:space="preserve">Ch.1-3, new §3.9, §3.10 (front matter §0.8)</w:t>
            </w:r>
          </w:p>
        </w:tc>
        <w:tc>
          <w:tcPr>
            <w:tcW w:type="dxa" w:w="2650"/>
            <w:tcMar>
              <w:top w:type="dxa" w:w="60"/>
              <w:left w:type="dxa" w:w="80"/>
              <w:bottom w:type="dxa" w:w="60"/>
              <w:right w:type="dxa" w:w="80"/>
            </w:tcMar>
          </w:tcPr>
          <w:p>
            <w:r>
              <w:rPr>
                <w:b w:val="false"/>
                <w:bCs w:val="false"/>
                <w:sz w:val="18"/>
                <w:szCs w:val="18"/>
              </w:rPr>
              <w:t xml:space="preserve">NCIE-003 v0.3 Ch.1-3 recognized no Agent/VPF canonical object family; the enterprise model covered domain/platform entities only.</w:t>
            </w:r>
          </w:p>
        </w:tc>
        <w:tc>
          <w:tcPr>
            <w:tcW w:type="dxa" w:w="3900"/>
            <w:tcMar>
              <w:top w:type="dxa" w:w="60"/>
              <w:left w:type="dxa" w:w="80"/>
              <w:bottom w:type="dxa" w:w="60"/>
              <w:right w:type="dxa" w:w="80"/>
            </w:tcMar>
          </w:tcPr>
          <w:p>
            <w:r>
              <w:rPr>
                <w:b w:val="false"/>
                <w:bCs w:val="false"/>
                <w:sz w:val="18"/>
                <w:szCs w:val="18"/>
              </w:rPr>
              <w:t xml:space="preserve">Added front matter §0.8 (Document Amendment History). Added Ch.3 §3.9 recognizing 12 new canonical objects (Agent Definition, Agent Pattern, Agent Run, Task Contract, Agent Risk Classification, Agent Result Package, VPF Profile/Profile Version, VPF Validation Artifact, VPF Disposition, Validated AI Result, Promotion Candidate, Engineering Change Candidate) under the existing identifier/versioning/temporal/provenance/classification/authorization-reference/lifecycle rules. Added §3.10 Acceptance Criteria (11 governing invariant separations).</w:t>
            </w:r>
          </w:p>
        </w:tc>
        <w:tc>
          <w:tcPr>
            <w:tcW w:type="dxa" w:w="1800"/>
            <w:tcMar>
              <w:top w:type="dxa" w:w="60"/>
              <w:left w:type="dxa" w:w="80"/>
              <w:bottom w:type="dxa" w:w="60"/>
              <w:right w:type="dxa" w:w="80"/>
            </w:tcMar>
          </w:tcPr>
          <w:p>
            <w:r>
              <w:rPr>
                <w:b w:val="false"/>
                <w:bCs w:val="false"/>
                <w:sz w:val="18"/>
                <w:szCs w:val="18"/>
              </w:rPr>
              <w:t xml:space="preserve">Approved NCIE-001 v1.3 §12.77-§12.80A; approved NCIE-002 v0.5 Ch.24 §24.4A; approved NCIE-007 v1.1 Ch.3, Ch.11, Ch.12, Ch.26.</w:t>
            </w:r>
          </w:p>
        </w:tc>
        <w:tc>
          <w:tcPr>
            <w:tcW w:type="dxa" w:w="1800"/>
            <w:tcMar>
              <w:top w:type="dxa" w:w="60"/>
              <w:left w:type="dxa" w:w="80"/>
              <w:bottom w:type="dxa" w:w="60"/>
              <w:right w:type="dxa" w:w="80"/>
            </w:tcMar>
          </w:tcPr>
          <w:p>
            <w:r>
              <w:rPr>
                <w:b w:val="false"/>
                <w:bCs w:val="false"/>
                <w:sz w:val="18"/>
                <w:szCs w:val="18"/>
              </w:rPr>
              <w:t xml:space="preserve">The canonical model had no logical home for the approved Dynamic Agent Synthesis / VPF architecture (directive §4-16).</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AM-2</w:t>
            </w:r>
          </w:p>
        </w:tc>
        <w:tc>
          <w:tcPr>
            <w:tcW w:type="dxa" w:w="1600"/>
            <w:tcMar>
              <w:top w:type="dxa" w:w="60"/>
              <w:left w:type="dxa" w:w="80"/>
              <w:bottom w:type="dxa" w:w="60"/>
              <w:right w:type="dxa" w:w="80"/>
            </w:tcMar>
          </w:tcPr>
          <w:p>
            <w:r>
              <w:rPr>
                <w:b w:val="false"/>
                <w:bCs w:val="false"/>
                <w:sz w:val="18"/>
                <w:szCs w:val="18"/>
              </w:rPr>
              <w:t xml:space="preserve">Ch.20, new §20.7-§20.10 (§20.11-20.13 renumbered)</w:t>
            </w:r>
          </w:p>
        </w:tc>
        <w:tc>
          <w:tcPr>
            <w:tcW w:type="dxa" w:w="2650"/>
            <w:tcMar>
              <w:top w:type="dxa" w:w="60"/>
              <w:left w:type="dxa" w:w="80"/>
              <w:bottom w:type="dxa" w:w="60"/>
              <w:right w:type="dxa" w:w="80"/>
            </w:tcMar>
          </w:tcPr>
          <w:p>
            <w:r>
              <w:rPr>
                <w:b w:val="false"/>
                <w:bCs w:val="false"/>
                <w:sz w:val="18"/>
                <w:szCs w:val="18"/>
              </w:rPr>
              <w:t xml:space="preserve">Ch.20's ARGUS Interaction &amp; AI Provenance model covered ARGUS Interaction, Contribution, Tool Invocation, Model Route, Evidence Reference, Human Response/Modification and Participation Mode only; no orchestration path through Agent/VPF objects, no Gate A/Gate B data semantics.</w:t>
            </w:r>
          </w:p>
        </w:tc>
        <w:tc>
          <w:tcPr>
            <w:tcW w:type="dxa" w:w="3900"/>
            <w:tcMar>
              <w:top w:type="dxa" w:w="60"/>
              <w:left w:type="dxa" w:w="80"/>
              <w:bottom w:type="dxa" w:w="60"/>
              <w:right w:type="dxa" w:w="80"/>
            </w:tcMar>
          </w:tcPr>
          <w:p>
            <w:r>
              <w:rPr>
                <w:b w:val="false"/>
                <w:bCs w:val="false"/>
                <w:sz w:val="18"/>
                <w:szCs w:val="18"/>
              </w:rPr>
              <w:t xml:space="preserve">Added §20.7 (orchestration relationship path: ARGUS Interaction/Task Need → Task Contract → Registered Agent/Agent Definition → Agent Run → Model Route/Context/Evidence/Tool Invocations → Agent Result Package → VPF Validation Artifact → Validated AI Result/Other Disposition → ARGUS Contribution → Human Response), §20.8 (dynamically synthesized agent provenance: Synthesis Origin, Gate A, Sandbox/Evaluation, Definition Version, Runtime Identity, Expiry, Promotion State), §20.9 (Gate A validates agent envelope, not future output), §20.10 (Gate B validates substantive AI output, links to exact artifact, ≠ Human Approval). Added 3 new Human Review items (20-D, 20-E, 20-F).</w:t>
            </w:r>
          </w:p>
        </w:tc>
        <w:tc>
          <w:tcPr>
            <w:tcW w:type="dxa" w:w="1800"/>
            <w:tcMar>
              <w:top w:type="dxa" w:w="60"/>
              <w:left w:type="dxa" w:w="80"/>
              <w:bottom w:type="dxa" w:w="60"/>
              <w:right w:type="dxa" w:w="80"/>
            </w:tcMar>
          </w:tcPr>
          <w:p>
            <w:r>
              <w:rPr>
                <w:b w:val="false"/>
                <w:bCs w:val="false"/>
                <w:sz w:val="18"/>
                <w:szCs w:val="18"/>
              </w:rPr>
              <w:t xml:space="preserve">Approved NCIE-002 v0.5 Ch.19 §19.2A / Ch.24 §24.4A; approved NCIE-007 v1.1 Ch.11, Ch.20, Ch.26.</w:t>
            </w:r>
          </w:p>
        </w:tc>
        <w:tc>
          <w:tcPr>
            <w:tcW w:type="dxa" w:w="1800"/>
            <w:tcMar>
              <w:top w:type="dxa" w:w="60"/>
              <w:left w:type="dxa" w:w="80"/>
              <w:bottom w:type="dxa" w:w="60"/>
              <w:right w:type="dxa" w:w="80"/>
            </w:tcMar>
          </w:tcPr>
          <w:p>
            <w:r>
              <w:rPr>
                <w:b w:val="false"/>
                <w:bCs w:val="false"/>
                <w:sz w:val="18"/>
                <w:szCs w:val="18"/>
              </w:rPr>
              <w:t xml:space="preserve">Ch.20 is the principal ARGUS/AI provenance chapter and is the designated principal amendment location (directive §17-19).</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AM-3</w:t>
            </w:r>
          </w:p>
        </w:tc>
        <w:tc>
          <w:tcPr>
            <w:tcW w:type="dxa" w:w="1600"/>
            <w:tcMar>
              <w:top w:type="dxa" w:w="60"/>
              <w:left w:type="dxa" w:w="80"/>
              <w:bottom w:type="dxa" w:w="60"/>
              <w:right w:type="dxa" w:w="80"/>
            </w:tcMar>
          </w:tcPr>
          <w:p>
            <w:r>
              <w:rPr>
                <w:b w:val="false"/>
                <w:bCs w:val="false"/>
                <w:sz w:val="18"/>
                <w:szCs w:val="18"/>
              </w:rPr>
              <w:t xml:space="preserve">Ch.21 §21.3, §21.6 (attribution extension only)</w:t>
            </w:r>
          </w:p>
        </w:tc>
        <w:tc>
          <w:tcPr>
            <w:tcW w:type="dxa" w:w="2650"/>
            <w:tcMar>
              <w:top w:type="dxa" w:w="60"/>
              <w:left w:type="dxa" w:w="80"/>
              <w:bottom w:type="dxa" w:w="60"/>
              <w:right w:type="dxa" w:w="80"/>
            </w:tcMar>
          </w:tcPr>
          <w:p>
            <w:r>
              <w:rPr>
                <w:b w:val="false"/>
                <w:bCs w:val="false"/>
                <w:sz w:val="18"/>
                <w:szCs w:val="18"/>
              </w:rPr>
              <w:t xml:space="preserve">Collaborative analytical objects identified machine contribution origin only generically as ARGUS/NCIE participation, with no distinction between direct model use and agent-mediated contribution.</w:t>
            </w:r>
          </w:p>
        </w:tc>
        <w:tc>
          <w:tcPr>
            <w:tcW w:type="dxa" w:w="3900"/>
            <w:tcMar>
              <w:top w:type="dxa" w:w="60"/>
              <w:left w:type="dxa" w:w="80"/>
              <w:bottom w:type="dxa" w:w="60"/>
              <w:right w:type="dxa" w:w="80"/>
            </w:tcMar>
          </w:tcPr>
          <w:p>
            <w:r>
              <w:rPr>
                <w:b w:val="false"/>
                <w:bCs w:val="false"/>
                <w:sz w:val="18"/>
                <w:szCs w:val="18"/>
              </w:rPr>
              <w:t xml:space="preserve">Extended machine-contribution-origin identification to ARGUS Direct, Registered Reusable Agent, or Ephemeral Synthesized Agent, where material. Added explicit statement that agent participation carries no Room Membership Authority, pooled permissions or institutional decision authority; Consensus ≠ Finding and Dissent/Contradiction preservation apply identically to agent- and human-originated contributions.</w:t>
            </w:r>
          </w:p>
        </w:tc>
        <w:tc>
          <w:tcPr>
            <w:tcW w:type="dxa" w:w="1800"/>
            <w:tcMar>
              <w:top w:type="dxa" w:w="60"/>
              <w:left w:type="dxa" w:w="80"/>
              <w:bottom w:type="dxa" w:w="60"/>
              <w:right w:type="dxa" w:w="80"/>
            </w:tcMar>
          </w:tcPr>
          <w:p>
            <w:r>
              <w:rPr>
                <w:b w:val="false"/>
                <w:bCs w:val="false"/>
                <w:sz w:val="18"/>
                <w:szCs w:val="18"/>
              </w:rPr>
              <w:t xml:space="preserve">Approved NCIE-007 v1.1 Ch.15.</w:t>
            </w:r>
          </w:p>
        </w:tc>
        <w:tc>
          <w:tcPr>
            <w:tcW w:type="dxa" w:w="1800"/>
            <w:tcMar>
              <w:top w:type="dxa" w:w="60"/>
              <w:left w:type="dxa" w:w="80"/>
              <w:bottom w:type="dxa" w:w="60"/>
              <w:right w:type="dxa" w:w="80"/>
            </w:tcMar>
          </w:tcPr>
          <w:p>
            <w:r>
              <w:rPr>
                <w:b w:val="false"/>
                <w:bCs w:val="false"/>
                <w:sz w:val="18"/>
                <w:szCs w:val="18"/>
              </w:rPr>
              <w:t xml:space="preserve">Directive §20 scoped this as a small attribution extension only — no new object classes.</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AM-4</w:t>
            </w:r>
          </w:p>
        </w:tc>
        <w:tc>
          <w:tcPr>
            <w:tcW w:type="dxa" w:w="1600"/>
            <w:tcMar>
              <w:top w:type="dxa" w:w="60"/>
              <w:left w:type="dxa" w:w="80"/>
              <w:bottom w:type="dxa" w:w="60"/>
              <w:right w:type="dxa" w:w="80"/>
            </w:tcMar>
          </w:tcPr>
          <w:p>
            <w:r>
              <w:rPr>
                <w:b w:val="false"/>
                <w:bCs w:val="false"/>
                <w:sz w:val="18"/>
                <w:szCs w:val="18"/>
              </w:rPr>
              <w:t xml:space="preserve">Ch.25, new §25.6-§25.7 (§25.8-25.10 renumbered)</w:t>
            </w:r>
          </w:p>
        </w:tc>
        <w:tc>
          <w:tcPr>
            <w:tcW w:type="dxa" w:w="2650"/>
            <w:tcMar>
              <w:top w:type="dxa" w:w="60"/>
              <w:left w:type="dxa" w:w="80"/>
              <w:bottom w:type="dxa" w:w="60"/>
              <w:right w:type="dxa" w:w="80"/>
            </w:tcMar>
          </w:tcPr>
          <w:p>
            <w:r>
              <w:rPr>
                <w:b w:val="false"/>
                <w:bCs w:val="false"/>
                <w:sz w:val="18"/>
                <w:szCs w:val="18"/>
              </w:rPr>
              <w:t xml:space="preserve">The provenance/lineage chapter reconstructed Human/System Request → ARGUS Interaction → … → Human Response without an Agent/VPF hop; no historical-VPF-integrity rule existed.</w:t>
            </w:r>
          </w:p>
        </w:tc>
        <w:tc>
          <w:tcPr>
            <w:tcW w:type="dxa" w:w="3900"/>
            <w:tcMar>
              <w:top w:type="dxa" w:w="60"/>
              <w:left w:type="dxa" w:w="80"/>
              <w:bottom w:type="dxa" w:w="60"/>
              <w:right w:type="dxa" w:w="80"/>
            </w:tcMar>
          </w:tcPr>
          <w:p>
            <w:r>
              <w:rPr>
                <w:b w:val="false"/>
                <w:bCs w:val="false"/>
                <w:sz w:val="18"/>
                <w:szCs w:val="18"/>
              </w:rPr>
              <w:t xml:space="preserve">Added §25.6 (Agent/VPF lineage extension: full chain through Task Contract, Agent Definition/Registered Agent, Agent Run, Model Route, Context/Evidence, Tool Invocations, Agent Result, VPF Validation, ARGUS Presentation, Human Response/Decision — supporting both current and Decision-Time reconstruction). Added §25.7 (Historical VPF Integrity: a historical VPF result stays bound to the Profile Version/Policy Version/Validation Time/Disposition that existed then; revalidation creates a new related artifact and never overwrites history — REVALIDATION ≠ HISTORICAL REWRITE).</w:t>
            </w:r>
          </w:p>
        </w:tc>
        <w:tc>
          <w:tcPr>
            <w:tcW w:type="dxa" w:w="1800"/>
            <w:tcMar>
              <w:top w:type="dxa" w:w="60"/>
              <w:left w:type="dxa" w:w="80"/>
              <w:bottom w:type="dxa" w:w="60"/>
              <w:right w:type="dxa" w:w="80"/>
            </w:tcMar>
          </w:tcPr>
          <w:p>
            <w:r>
              <w:rPr>
                <w:b w:val="false"/>
                <w:bCs w:val="false"/>
                <w:sz w:val="18"/>
                <w:szCs w:val="18"/>
              </w:rPr>
              <w:t xml:space="preserve">Approved NCIE-001 v1.3 §12.77-§12.80A; approved NCIE-002 v0.5 Ch.24 §24.4A; approved NCIE-007 v1.1 Ch.27.</w:t>
            </w:r>
          </w:p>
        </w:tc>
        <w:tc>
          <w:tcPr>
            <w:tcW w:type="dxa" w:w="1800"/>
            <w:tcMar>
              <w:top w:type="dxa" w:w="60"/>
              <w:left w:type="dxa" w:w="80"/>
              <w:bottom w:type="dxa" w:w="60"/>
              <w:right w:type="dxa" w:w="80"/>
            </w:tcMar>
          </w:tcPr>
          <w:p>
            <w:r>
              <w:rPr>
                <w:b w:val="false"/>
                <w:bCs w:val="false"/>
                <w:sz w:val="18"/>
                <w:szCs w:val="18"/>
              </w:rPr>
              <w:t xml:space="preserve">Decision-Time reconstruction of AI/Agent artifacts required an explicit lineage path and a non-destructive revalidation rule (directive §21-22, §569-570).</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AM-5</w:t>
            </w:r>
          </w:p>
        </w:tc>
        <w:tc>
          <w:tcPr>
            <w:tcW w:type="dxa" w:w="1600"/>
            <w:tcMar>
              <w:top w:type="dxa" w:w="60"/>
              <w:left w:type="dxa" w:w="80"/>
              <w:bottom w:type="dxa" w:w="60"/>
              <w:right w:type="dxa" w:w="80"/>
            </w:tcMar>
          </w:tcPr>
          <w:p>
            <w:r>
              <w:rPr>
                <w:b w:val="false"/>
                <w:bCs w:val="false"/>
                <w:sz w:val="18"/>
                <w:szCs w:val="18"/>
              </w:rPr>
              <w:t xml:space="preserve">Ch.26, new §26.6; Ch.27 §27.4 extension + new §27.4A</w:t>
            </w:r>
          </w:p>
        </w:tc>
        <w:tc>
          <w:tcPr>
            <w:tcW w:type="dxa" w:w="2650"/>
            <w:tcMar>
              <w:top w:type="dxa" w:w="60"/>
              <w:left w:type="dxa" w:w="80"/>
              <w:bottom w:type="dxa" w:w="60"/>
              <w:right w:type="dxa" w:w="80"/>
            </w:tcMar>
          </w:tcPr>
          <w:p>
            <w:r>
              <w:rPr>
                <w:b w:val="false"/>
                <w:bCs w:val="false"/>
                <w:sz w:val="18"/>
                <w:szCs w:val="18"/>
              </w:rPr>
              <w:t xml:space="preserve">Ch.26 distinguished Human Principal, ARGUS Identity, Service Identity and Workflow Actor only — no Agent Runtime Identity or Tool Actor; Ch.27's Action enumeration had no Agent/VPF lifecycle events; no explicit Telemetry ≠ Audit statement.</w:t>
            </w:r>
          </w:p>
        </w:tc>
        <w:tc>
          <w:tcPr>
            <w:tcW w:type="dxa" w:w="3900"/>
            <w:tcMar>
              <w:top w:type="dxa" w:w="60"/>
              <w:left w:type="dxa" w:w="80"/>
              <w:bottom w:type="dxa" w:w="60"/>
              <w:right w:type="dxa" w:w="80"/>
            </w:tcMar>
          </w:tcPr>
          <w:p>
            <w:r>
              <w:rPr>
                <w:b w:val="false"/>
                <w:bCs w:val="false"/>
                <w:sz w:val="18"/>
                <w:szCs w:val="18"/>
              </w:rPr>
              <w:t xml:space="preserve">Added Agent Runtime Identity and Tool Actor to the identity taxonomy (§26.3). Added §26.6 (Agent Authorization Reference: an Agent Run references its current-authorization context, re-evaluated at execution time; a revoked/expired authorization is never honoured through cached Agent Run state — HISTORICAL AUTHORIZATION ≠ CURRENT AUTHORIZATION). Extended §27.4's Action enumeration with 11 Agent/VPF lifecycle events (Agent Synthesis Requested … Engineering Change Candidate Created). Added §27.4A (Telemetry ≠ Audit boundary).</w:t>
            </w:r>
          </w:p>
        </w:tc>
        <w:tc>
          <w:tcPr>
            <w:tcW w:type="dxa" w:w="1800"/>
            <w:tcMar>
              <w:top w:type="dxa" w:w="60"/>
              <w:left w:type="dxa" w:w="80"/>
              <w:bottom w:type="dxa" w:w="60"/>
              <w:right w:type="dxa" w:w="80"/>
            </w:tcMar>
          </w:tcPr>
          <w:p>
            <w:r>
              <w:rPr>
                <w:b w:val="false"/>
                <w:bCs w:val="false"/>
                <w:sz w:val="18"/>
                <w:szCs w:val="18"/>
              </w:rPr>
              <w:t xml:space="preserve">Approved NCIE-007 v1.1 Ch.14, Ch.18, Ch.25 §25.3, Ch.27, Ch.31 §31.3.</w:t>
            </w:r>
          </w:p>
        </w:tc>
        <w:tc>
          <w:tcPr>
            <w:tcW w:type="dxa" w:w="1800"/>
            <w:tcMar>
              <w:top w:type="dxa" w:w="60"/>
              <w:left w:type="dxa" w:w="80"/>
              <w:bottom w:type="dxa" w:w="60"/>
              <w:right w:type="dxa" w:w="80"/>
            </w:tcMar>
          </w:tcPr>
          <w:p>
            <w:r>
              <w:rPr>
                <w:b w:val="false"/>
                <w:bCs w:val="false"/>
                <w:sz w:val="18"/>
                <w:szCs w:val="18"/>
              </w:rPr>
              <w:t xml:space="preserve">Agent runtime identity needed a distinguishable, non-cached authorization semantics separate from the human principal, and its material events needed to reach the existing audit architecture without duplicating it (directive §23-26).</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AM-6</w:t>
            </w:r>
          </w:p>
        </w:tc>
        <w:tc>
          <w:tcPr>
            <w:tcW w:type="dxa" w:w="1600"/>
            <w:tcMar>
              <w:top w:type="dxa" w:w="60"/>
              <w:left w:type="dxa" w:w="80"/>
              <w:bottom w:type="dxa" w:w="60"/>
              <w:right w:type="dxa" w:w="80"/>
            </w:tcMar>
          </w:tcPr>
          <w:p>
            <w:r>
              <w:rPr>
                <w:b w:val="false"/>
                <w:bCs w:val="false"/>
                <w:sz w:val="18"/>
                <w:szCs w:val="18"/>
              </w:rPr>
              <w:t xml:space="preserve">Ch.28 §28.4; Ch.29 new §29.5A; Ch.30 §30.9</w:t>
            </w:r>
          </w:p>
        </w:tc>
        <w:tc>
          <w:tcPr>
            <w:tcW w:type="dxa" w:w="2650"/>
            <w:tcMar>
              <w:top w:type="dxa" w:w="60"/>
              <w:left w:type="dxa" w:w="80"/>
              <w:bottom w:type="dxa" w:w="60"/>
              <w:right w:type="dxa" w:w="80"/>
            </w:tcMar>
          </w:tcPr>
          <w:p>
            <w:r>
              <w:rPr>
                <w:b w:val="false"/>
                <w:bCs w:val="false"/>
                <w:sz w:val="18"/>
                <w:szCs w:val="18"/>
              </w:rPr>
              <w:t xml:space="preserve">Ch.28's Event &amp; Integration model's governed event enumeration had no Agent/VPF lifecycle-event category. Ch.29's data-quality rule set covered domain/platform entities only — no referential-integrity or lifecycle rules existed for Agent/VPF objects. Ch.30's Data Dictionary governance section did not reference the (not-yet-existing) Agent/VPF entity family.</w:t>
            </w:r>
          </w:p>
        </w:tc>
        <w:tc>
          <w:tcPr>
            <w:tcW w:type="dxa" w:w="3900"/>
            <w:tcMar>
              <w:top w:type="dxa" w:w="60"/>
              <w:left w:type="dxa" w:w="80"/>
              <w:bottom w:type="dxa" w:w="60"/>
              <w:right w:type="dxa" w:w="80"/>
            </w:tcMar>
          </w:tcPr>
          <w:p>
            <w:r>
              <w:rPr>
                <w:b w:val="false"/>
                <w:bCs w:val="false"/>
                <w:sz w:val="18"/>
                <w:szCs w:val="18"/>
              </w:rPr>
              <w:t xml:space="preserve">Ch.28 §28.4: extended the governed event enumeration with 'Agent/VPF lifecycle events per Ch.27 §27.4' alongside the existing source/PM-KPI/Alert/Workflow/collaborative categories — a one-sentence cross-reference, no new event architecture. Ch.29: added §29.5A (Agent &amp; VPF Data-Quality Rules), including: Agent Run must reference a valid Agent Definition/registered capability; Task Contract must identify purpose; VPF Validation must reference the exact input artifact; PASS cannot exist without the applicable Profile/Version; Promotion Candidate cannot equal Registered Agent state; Ephemeral Agent cannot silently become reusable; historical VPF validation cannot be overwritten by revalidation; historical reference to a retired object is not itself a defect, but current eligibility must not be inferred from historical reference alone. Ch.30 §30.9: added one sentence stating the Agent &amp; VPF entity family (Ch.3 §3.9) uses the same mandatory Data Dictionary columns and enumeration governance as every other entity family, with no separate Agent/VPF dictionary authority created.</w:t>
            </w:r>
          </w:p>
        </w:tc>
        <w:tc>
          <w:tcPr>
            <w:tcW w:type="dxa" w:w="1800"/>
            <w:tcMar>
              <w:top w:type="dxa" w:w="60"/>
              <w:left w:type="dxa" w:w="80"/>
              <w:bottom w:type="dxa" w:w="60"/>
              <w:right w:type="dxa" w:w="80"/>
            </w:tcMar>
          </w:tcPr>
          <w:p>
            <w:r>
              <w:rPr>
                <w:b w:val="false"/>
                <w:bCs w:val="false"/>
                <w:sz w:val="18"/>
                <w:szCs w:val="18"/>
              </w:rPr>
              <w:t xml:space="preserve">Approved NCIE-007 v1.1 Ch.32; Ch.3 §3.9 (Data Dictionary governance boundary, directive §431).</w:t>
            </w:r>
          </w:p>
        </w:tc>
        <w:tc>
          <w:tcPr>
            <w:tcW w:type="dxa" w:w="1800"/>
            <w:tcMar>
              <w:top w:type="dxa" w:w="60"/>
              <w:left w:type="dxa" w:w="80"/>
              <w:bottom w:type="dxa" w:w="60"/>
              <w:right w:type="dxa" w:w="80"/>
            </w:tcMar>
          </w:tcPr>
          <w:p>
            <w:r>
              <w:rPr>
                <w:b w:val="false"/>
                <w:bCs w:val="false"/>
                <w:sz w:val="18"/>
                <w:szCs w:val="18"/>
              </w:rPr>
              <w:t xml:space="preserve">The new canonical objects required their own referential-integrity/lifecycle data-quality rules and needed to reach the existing event and dictionary-governance architecture by cross-reference, not duplication (directive §27-28, §431).</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AM-7</w:t>
            </w:r>
          </w:p>
        </w:tc>
        <w:tc>
          <w:tcPr>
            <w:tcW w:type="dxa" w:w="1600"/>
            <w:tcMar>
              <w:top w:type="dxa" w:w="60"/>
              <w:left w:type="dxa" w:w="80"/>
              <w:bottom w:type="dxa" w:w="60"/>
              <w:right w:type="dxa" w:w="80"/>
            </w:tcMar>
          </w:tcPr>
          <w:p>
            <w:r>
              <w:rPr>
                <w:b w:val="false"/>
                <w:bCs w:val="false"/>
                <w:sz w:val="18"/>
                <w:szCs w:val="18"/>
              </w:rPr>
              <w:t xml:space="preserve">Ch.39, new §39.18-§39.25 (§39.26 renumbered)</w:t>
            </w:r>
          </w:p>
        </w:tc>
        <w:tc>
          <w:tcPr>
            <w:tcW w:type="dxa" w:w="2650"/>
            <w:tcMar>
              <w:top w:type="dxa" w:w="60"/>
              <w:left w:type="dxa" w:w="80"/>
              <w:bottom w:type="dxa" w:w="60"/>
              <w:right w:type="dxa" w:w="80"/>
            </w:tcMar>
          </w:tcPr>
          <w:p>
            <w:r>
              <w:rPr>
                <w:b w:val="false"/>
                <w:bCs w:val="false"/>
                <w:sz w:val="18"/>
                <w:szCs w:val="18"/>
              </w:rPr>
              <w:t xml:space="preserve">The Data Dictionary (Ch.39) held representative worked entries for domain/platform entities (Ch.3-30) only; no Agent/VPF entries.</w:t>
            </w:r>
          </w:p>
        </w:tc>
        <w:tc>
          <w:tcPr>
            <w:tcW w:type="dxa" w:w="3900"/>
            <w:tcMar>
              <w:top w:type="dxa" w:w="60"/>
              <w:left w:type="dxa" w:w="80"/>
              <w:bottom w:type="dxa" w:w="60"/>
              <w:right w:type="dxa" w:w="80"/>
            </w:tcMar>
          </w:tcPr>
          <w:p>
            <w:r>
              <w:rPr>
                <w:b w:val="false"/>
                <w:bCs w:val="false"/>
                <w:sz w:val="18"/>
                <w:szCs w:val="18"/>
              </w:rPr>
              <w:t xml:space="preserve">Added 8 representative worked Data Dictionary entries (Agent Definition, Task Contract, Agent Run, Agent Result Package, VPF Profile, VPF Validation Artifact, Promotion Candidate, Engineering Change Candidate) using the existing mandatory dictionary structure; SOURCE DISCOVERY REQUIRED is used wherever physical/source mapping is unknown. No physical table name, database type, source-system field or retention period is fabricated.</w:t>
            </w:r>
          </w:p>
        </w:tc>
        <w:tc>
          <w:tcPr>
            <w:tcW w:type="dxa" w:w="1800"/>
            <w:tcMar>
              <w:top w:type="dxa" w:w="60"/>
              <w:left w:type="dxa" w:w="80"/>
              <w:bottom w:type="dxa" w:w="60"/>
              <w:right w:type="dxa" w:w="80"/>
            </w:tcMar>
          </w:tcPr>
          <w:p>
            <w:r>
              <w:rPr>
                <w:b w:val="false"/>
                <w:bCs w:val="false"/>
                <w:sz w:val="18"/>
                <w:szCs w:val="18"/>
              </w:rPr>
              <w:t xml:space="preserve">Approved NCIE-001 v1.3 §12.80A; approved NCIE-002 v0.5 Ch.24 §24.4A; approved NCIE-007 v1.1.</w:t>
            </w:r>
          </w:p>
        </w:tc>
        <w:tc>
          <w:tcPr>
            <w:tcW w:type="dxa" w:w="1800"/>
            <w:tcMar>
              <w:top w:type="dxa" w:w="60"/>
              <w:left w:type="dxa" w:w="80"/>
              <w:bottom w:type="dxa" w:w="60"/>
              <w:right w:type="dxa" w:w="80"/>
            </w:tcMar>
          </w:tcPr>
          <w:p>
            <w:r>
              <w:rPr>
                <w:b w:val="false"/>
                <w:bCs w:val="false"/>
                <w:sz w:val="18"/>
                <w:szCs w:val="18"/>
              </w:rPr>
              <w:t xml:space="preserve">Directive §29 required representative entries for the new canonical entities, explicitly prohibiting exhaustive physical population or fabrication.</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AM-8</w:t>
            </w:r>
          </w:p>
        </w:tc>
        <w:tc>
          <w:tcPr>
            <w:tcW w:type="dxa" w:w="1600"/>
            <w:tcMar>
              <w:top w:type="dxa" w:w="60"/>
              <w:left w:type="dxa" w:w="80"/>
              <w:bottom w:type="dxa" w:w="60"/>
              <w:right w:type="dxa" w:w="80"/>
            </w:tcMar>
          </w:tcPr>
          <w:p>
            <w:r>
              <w:rPr>
                <w:b w:val="false"/>
                <w:bCs w:val="false"/>
                <w:sz w:val="18"/>
                <w:szCs w:val="18"/>
              </w:rPr>
              <w:t xml:space="preserve">Ch.40, new §40.15A</w:t>
            </w:r>
          </w:p>
        </w:tc>
        <w:tc>
          <w:tcPr>
            <w:tcW w:type="dxa" w:w="2650"/>
            <w:tcMar>
              <w:top w:type="dxa" w:w="60"/>
              <w:left w:type="dxa" w:w="80"/>
              <w:bottom w:type="dxa" w:w="60"/>
              <w:right w:type="dxa" w:w="80"/>
            </w:tcMar>
          </w:tcPr>
          <w:p>
            <w:r>
              <w:rPr>
                <w:b w:val="false"/>
                <w:bCs w:val="false"/>
                <w:sz w:val="18"/>
                <w:szCs w:val="18"/>
              </w:rPr>
              <w:t xml:space="preserve">The ER Catalogue (Ch.40) diagrammed Ch.3-30 domain/platform relationships; no Agent/VPF ER structure existed.</w:t>
            </w:r>
          </w:p>
        </w:tc>
        <w:tc>
          <w:tcPr>
            <w:tcW w:type="dxa" w:w="3900"/>
            <w:tcMar>
              <w:top w:type="dxa" w:w="60"/>
              <w:left w:type="dxa" w:w="80"/>
              <w:bottom w:type="dxa" w:w="60"/>
              <w:right w:type="dxa" w:w="80"/>
            </w:tcMar>
          </w:tcPr>
          <w:p>
            <w:r>
              <w:rPr>
                <w:b w:val="false"/>
                <w:bCs w:val="false"/>
                <w:sz w:val="18"/>
                <w:szCs w:val="18"/>
              </w:rPr>
              <w:t xml:space="preserve">Added §40.15A (Agent &amp; VPF ERD) with the 12 required logical relationships (Agent Pattern→Agent Definition, Agent Definition→Agent Run, Task Contract→Agent Run, Agent Run→Model Route/Tool Invocation/Context Reference/Evidence Reference/Agent Result Package, Agent Result Package→VPF Validation Artifact, VPF Profile Version→VPF Validation Artifact, Validated AI Result↔VPF Validation Artifact, Ephemeral Agent/Agent Definition→Promotion Candidate, Task/Capability Gap→Engineering Change Candidate). Mutual coverage against Ch.3 §3.9 and Ch.39 §39.18-25 is a checked acceptance criterion (§40.18), not an assumption.</w:t>
            </w:r>
          </w:p>
        </w:tc>
        <w:tc>
          <w:tcPr>
            <w:tcW w:type="dxa" w:w="1800"/>
            <w:tcMar>
              <w:top w:type="dxa" w:w="60"/>
              <w:left w:type="dxa" w:w="80"/>
              <w:bottom w:type="dxa" w:w="60"/>
              <w:right w:type="dxa" w:w="80"/>
            </w:tcMar>
          </w:tcPr>
          <w:p>
            <w:r>
              <w:rPr>
                <w:b w:val="false"/>
                <w:bCs w:val="false"/>
                <w:sz w:val="18"/>
                <w:szCs w:val="18"/>
              </w:rPr>
              <w:t xml:space="preserve">Approved NCIE-001 v1.3 §12.80A; approved NCIE-002 v0.5 Ch.24 §24.4A; approved NCIE-007 v1.1.</w:t>
            </w:r>
          </w:p>
        </w:tc>
        <w:tc>
          <w:tcPr>
            <w:tcW w:type="dxa" w:w="1800"/>
            <w:tcMar>
              <w:top w:type="dxa" w:w="60"/>
              <w:left w:type="dxa" w:w="80"/>
              <w:bottom w:type="dxa" w:w="60"/>
              <w:right w:type="dxa" w:w="80"/>
            </w:tcMar>
          </w:tcPr>
          <w:p>
            <w:r>
              <w:rPr>
                <w:b w:val="false"/>
                <w:bCs w:val="false"/>
                <w:sz w:val="18"/>
                <w:szCs w:val="18"/>
              </w:rPr>
              <w:t xml:space="preserve">Directive §30 required the ER catalogue extension without redesigning unrelated domain ER models.</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AM-9</w:t>
            </w:r>
          </w:p>
        </w:tc>
        <w:tc>
          <w:tcPr>
            <w:tcW w:type="dxa" w:w="1600"/>
            <w:tcMar>
              <w:top w:type="dxa" w:w="60"/>
              <w:left w:type="dxa" w:w="80"/>
              <w:bottom w:type="dxa" w:w="60"/>
              <w:right w:type="dxa" w:w="80"/>
            </w:tcMar>
          </w:tcPr>
          <w:p>
            <w:r>
              <w:rPr>
                <w:b w:val="false"/>
                <w:bCs w:val="false"/>
                <w:sz w:val="18"/>
                <w:szCs w:val="18"/>
              </w:rPr>
              <w:t xml:space="preserve">Ch.41 crosswalk update; new §41.6A</w:t>
            </w:r>
          </w:p>
        </w:tc>
        <w:tc>
          <w:tcPr>
            <w:tcW w:type="dxa" w:w="2650"/>
            <w:tcMar>
              <w:top w:type="dxa" w:w="60"/>
              <w:left w:type="dxa" w:w="80"/>
              <w:bottom w:type="dxa" w:w="60"/>
              <w:right w:type="dxa" w:w="80"/>
            </w:tcMar>
          </w:tcPr>
          <w:p>
            <w:r>
              <w:rPr>
                <w:b w:val="false"/>
                <w:bCs w:val="false"/>
                <w:sz w:val="18"/>
                <w:szCs w:val="18"/>
              </w:rPr>
              <w:t xml:space="preserve">The traceability crosswalk (Ch.41) cited NCIE-001 v1.2 / NCIE-002 v0.4 as the current authority chain; no downstream-handover register existed naming which forthcoming NCIE artifact owns each deferred Agent/VPF obligation.</w:t>
            </w:r>
          </w:p>
        </w:tc>
        <w:tc>
          <w:tcPr>
            <w:tcW w:type="dxa" w:w="3900"/>
            <w:tcMar>
              <w:top w:type="dxa" w:w="60"/>
              <w:left w:type="dxa" w:w="80"/>
              <w:bottom w:type="dxa" w:w="60"/>
              <w:right w:type="dxa" w:w="80"/>
            </w:tcMar>
          </w:tcPr>
          <w:p>
            <w:r>
              <w:rPr>
                <w:b w:val="false"/>
                <w:bCs w:val="false"/>
                <w:sz w:val="18"/>
                <w:szCs w:val="18"/>
              </w:rPr>
              <w:t xml:space="preserve">Updated the crosswalk header and every affected-chapter row to cite approved NCIE-001 v1.3, approved NCIE-002 v0.5 and approved NCIE-007 v1.1 (rows for chapters this amendment did not touch continue to trace to the NCIE-002 architecture content that v0.5 itself preserves unchanged from v0.4, and are explicitly annotated as such — not left as a competing current-authority claim). Added §41.6A (Downstream Handover Register) naming NCIE-004 (engineering/technology support), NCIE-005 (ARGUS presentation/behaviour), NCIE-006 (Memory/Context), NCIE-014 (physical persistence) and NCIE-016 (test-suite realization) as the deferred-obligation owners.</w:t>
            </w:r>
          </w:p>
        </w:tc>
        <w:tc>
          <w:tcPr>
            <w:tcW w:type="dxa" w:w="1800"/>
            <w:tcMar>
              <w:top w:type="dxa" w:w="60"/>
              <w:left w:type="dxa" w:w="80"/>
              <w:bottom w:type="dxa" w:w="60"/>
              <w:right w:type="dxa" w:w="80"/>
            </w:tcMar>
          </w:tcPr>
          <w:p>
            <w:r>
              <w:rPr>
                <w:b w:val="false"/>
                <w:bCs w:val="false"/>
                <w:sz w:val="18"/>
                <w:szCs w:val="18"/>
              </w:rPr>
              <w:t xml:space="preserve">Approved NCIE-001 v1.3; approved NCIE-002 v0.5; approved NCIE-007 v1.1 Ch.36 §36.4.</w:t>
            </w:r>
          </w:p>
        </w:tc>
        <w:tc>
          <w:tcPr>
            <w:tcW w:type="dxa" w:w="1800"/>
            <w:tcMar>
              <w:top w:type="dxa" w:w="60"/>
              <w:left w:type="dxa" w:w="80"/>
              <w:bottom w:type="dxa" w:w="60"/>
              <w:right w:type="dxa" w:w="80"/>
            </w:tcMar>
          </w:tcPr>
          <w:p>
            <w:r>
              <w:rPr>
                <w:b w:val="false"/>
                <w:bCs w:val="false"/>
                <w:sz w:val="18"/>
                <w:szCs w:val="18"/>
              </w:rPr>
              <w:t xml:space="preserve">Directive §31 required current-authority citations; directive §401-402 and §536-540 required explicit downstream ownership rather than an unassigned deferral.</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AM-10</w:t>
            </w:r>
          </w:p>
        </w:tc>
        <w:tc>
          <w:tcPr>
            <w:tcW w:type="dxa" w:w="1600"/>
            <w:tcMar>
              <w:top w:type="dxa" w:w="60"/>
              <w:left w:type="dxa" w:w="80"/>
              <w:bottom w:type="dxa" w:w="60"/>
              <w:right w:type="dxa" w:w="80"/>
            </w:tcMar>
          </w:tcPr>
          <w:p>
            <w:r>
              <w:rPr>
                <w:b w:val="false"/>
                <w:bCs w:val="false"/>
                <w:sz w:val="18"/>
                <w:szCs w:val="18"/>
              </w:rPr>
              <w:t xml:space="preserve">Ch.42 (mechanical reconciliation)</w:t>
            </w:r>
          </w:p>
        </w:tc>
        <w:tc>
          <w:tcPr>
            <w:tcW w:type="dxa" w:w="2650"/>
            <w:tcMar>
              <w:top w:type="dxa" w:w="60"/>
              <w:left w:type="dxa" w:w="80"/>
              <w:bottom w:type="dxa" w:w="60"/>
              <w:right w:type="dxa" w:w="80"/>
            </w:tcMar>
          </w:tcPr>
          <w:p>
            <w:r>
              <w:rPr>
                <w:b w:val="false"/>
                <w:bCs w:val="false"/>
                <w:sz w:val="18"/>
                <w:szCs w:val="18"/>
              </w:rPr>
              <w:t xml:space="preserve">The v0.3 Human Review Register held 123 items: 121 Open, 2 Closed, 85 Blocking, 38 Non-Blocking.</w:t>
            </w:r>
          </w:p>
        </w:tc>
        <w:tc>
          <w:tcPr>
            <w:tcW w:type="dxa" w:w="3900"/>
            <w:tcMar>
              <w:top w:type="dxa" w:w="60"/>
              <w:left w:type="dxa" w:w="80"/>
              <w:bottom w:type="dxa" w:w="60"/>
              <w:right w:type="dxa" w:w="80"/>
            </w:tcMar>
          </w:tcPr>
          <w:p>
            <w:r>
              <w:rPr>
                <w:b w:val="false"/>
                <w:bCs w:val="false"/>
                <w:sz w:val="18"/>
                <w:szCs w:val="18"/>
              </w:rPr>
              <w:t xml:space="preserve">Mechanically re-extracted and reconciled after all substantive amendments. Now holds 127 items: 125 Open, 2 Closed (unchanged), 85 Blocking (unchanged), 42 Non-Blocking. 4 new items added — 3-C (Agent &amp; VPF entity-family stewardship), 20-D (Agent Definition/Run/VPF Validation Artifact retention), 20-E (VPF Profile stewardship), 20-F (Promotion/Engineering Change Candidate retention/ownership) — all Institutional Confirmation Required, Non-Blocking. Reconciles as 123 + 4 added − 0 removed/merged = 127. Independently verified by counting Decision ID occurrences across §42.4/§42.5: 127 unique IDs, each appearing in both split tables.</w:t>
            </w:r>
          </w:p>
        </w:tc>
        <w:tc>
          <w:tcPr>
            <w:tcW w:type="dxa" w:w="1800"/>
            <w:tcMar>
              <w:top w:type="dxa" w:w="60"/>
              <w:left w:type="dxa" w:w="80"/>
              <w:bottom w:type="dxa" w:w="60"/>
              <w:right w:type="dxa" w:w="80"/>
            </w:tcMar>
          </w:tcPr>
          <w:p>
            <w:r>
              <w:rPr>
                <w:b w:val="false"/>
                <w:bCs w:val="false"/>
                <w:sz w:val="18"/>
                <w:szCs w:val="18"/>
              </w:rPr>
              <w:t xml:space="preserve">Administrative — directive §33-35, §526-530 (mandatory reconciliation gate).</w:t>
            </w:r>
          </w:p>
        </w:tc>
        <w:tc>
          <w:tcPr>
            <w:tcW w:type="dxa" w:w="1800"/>
            <w:tcMar>
              <w:top w:type="dxa" w:w="60"/>
              <w:left w:type="dxa" w:w="80"/>
              <w:bottom w:type="dxa" w:w="60"/>
              <w:right w:type="dxa" w:w="80"/>
            </w:tcMar>
          </w:tcPr>
          <w:p>
            <w:r>
              <w:rPr>
                <w:b w:val="false"/>
                <w:bCs w:val="false"/>
                <w:sz w:val="18"/>
                <w:szCs w:val="18"/>
              </w:rPr>
              <w:t xml:space="preserve">Chapter 42 must be mechanically re-extracted after every substantive amendment; stale totals may never carry forward.</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AM-11</w:t>
            </w:r>
          </w:p>
        </w:tc>
        <w:tc>
          <w:tcPr>
            <w:tcW w:type="dxa" w:w="1600"/>
            <w:tcMar>
              <w:top w:type="dxa" w:w="60"/>
              <w:left w:type="dxa" w:w="80"/>
              <w:bottom w:type="dxa" w:w="60"/>
              <w:right w:type="dxa" w:w="80"/>
            </w:tcMar>
          </w:tcPr>
          <w:p>
            <w:r>
              <w:rPr>
                <w:b w:val="false"/>
                <w:bCs w:val="false"/>
                <w:sz w:val="18"/>
                <w:szCs w:val="18"/>
              </w:rPr>
              <w:t xml:space="preserve">Ch.43, new §43.4A-§43.4C</w:t>
            </w:r>
          </w:p>
        </w:tc>
        <w:tc>
          <w:tcPr>
            <w:tcW w:type="dxa" w:w="2650"/>
            <w:tcMar>
              <w:top w:type="dxa" w:w="60"/>
              <w:left w:type="dxa" w:w="80"/>
              <w:bottom w:type="dxa" w:w="60"/>
              <w:right w:type="dxa" w:w="80"/>
            </w:tcMar>
          </w:tcPr>
          <w:p>
            <w:r>
              <w:rPr>
                <w:b w:val="false"/>
                <w:bCs w:val="false"/>
                <w:sz w:val="18"/>
                <w:szCs w:val="18"/>
              </w:rPr>
              <w:t xml:space="preserve">The acceptance/handover chapter tested domain/platform separations only; no Agent/VPF acceptance criteria, no Decision-Time/human-modification test for Agent/VPF artifacts, and no explicit non-implementation statement for the new objects.</w:t>
            </w:r>
          </w:p>
        </w:tc>
        <w:tc>
          <w:tcPr>
            <w:tcW w:type="dxa" w:w="3900"/>
            <w:tcMar>
              <w:top w:type="dxa" w:w="60"/>
              <w:left w:type="dxa" w:w="80"/>
              <w:bottom w:type="dxa" w:w="60"/>
              <w:right w:type="dxa" w:w="80"/>
            </w:tcMar>
          </w:tcPr>
          <w:p>
            <w:r>
              <w:rPr>
                <w:b w:val="false"/>
                <w:bCs w:val="false"/>
                <w:sz w:val="18"/>
                <w:szCs w:val="18"/>
              </w:rPr>
              <w:t xml:space="preserve">Added §43.4A (Agent &amp; VPF Acceptance: tests the 11 invariant separations from §3.9, e.g. Agent Definition ≠ Agent Run, VPF PASS ≠ Decision). Added §43.4B (Decision-Time and Human-Modification Acceptance: a historical Decision demonstrably reconstructs Agent/VPF provenance without contamination from later revalidation; human modification of AI output preserves original AI/VPF provenance and human-modification provenance separately). Added §43.4C (Acceptance Does Not Certify Implementation: NCIE-003 v0.4 approval ≠ Agent Factory/VPF production activation; approval validates the canonical-data baseline only).</w:t>
            </w:r>
          </w:p>
        </w:tc>
        <w:tc>
          <w:tcPr>
            <w:tcW w:type="dxa" w:w="1800"/>
            <w:tcMar>
              <w:top w:type="dxa" w:w="60"/>
              <w:left w:type="dxa" w:w="80"/>
              <w:bottom w:type="dxa" w:w="60"/>
              <w:right w:type="dxa" w:w="80"/>
            </w:tcMar>
          </w:tcPr>
          <w:p>
            <w:r>
              <w:rPr>
                <w:b w:val="false"/>
                <w:bCs w:val="false"/>
                <w:sz w:val="18"/>
                <w:szCs w:val="18"/>
              </w:rPr>
              <w:t xml:space="preserve">Approved NCIE-001 v1.3 / NCIE-002 v0.5 / NCIE-007 v1.1 (closes the amendment authority chain).</w:t>
            </w:r>
          </w:p>
        </w:tc>
        <w:tc>
          <w:tcPr>
            <w:tcW w:type="dxa" w:w="1800"/>
            <w:tcMar>
              <w:top w:type="dxa" w:w="60"/>
              <w:left w:type="dxa" w:w="80"/>
              <w:bottom w:type="dxa" w:w="60"/>
              <w:right w:type="dxa" w:w="80"/>
            </w:tcMar>
          </w:tcPr>
          <w:p>
            <w:r>
              <w:rPr>
                <w:b w:val="false"/>
                <w:bCs w:val="false"/>
                <w:sz w:val="18"/>
                <w:szCs w:val="18"/>
              </w:rPr>
              <w:t xml:space="preserve">Directive §36-38 and §532-533 required explicit acceptance tests for the new invariants and an explicit non-implementation disclaimer.</w:t>
            </w:r>
          </w:p>
        </w:tc>
        <w:tc>
          <w:tcPr>
            <w:tcW w:type="dxa" w:w="131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AM-DOC</w:t>
            </w:r>
          </w:p>
        </w:tc>
        <w:tc>
          <w:tcPr>
            <w:tcW w:type="dxa" w:w="1600"/>
            <w:tcMar>
              <w:top w:type="dxa" w:w="60"/>
              <w:left w:type="dxa" w:w="80"/>
              <w:bottom w:type="dxa" w:w="60"/>
              <w:right w:type="dxa" w:w="80"/>
            </w:tcMar>
          </w:tcPr>
          <w:p>
            <w:r>
              <w:rPr>
                <w:b w:val="false"/>
                <w:bCs w:val="false"/>
                <w:sz w:val="18"/>
                <w:szCs w:val="18"/>
              </w:rPr>
              <w:t xml:space="preserve">Cover / Document Governance</w:t>
            </w:r>
          </w:p>
        </w:tc>
        <w:tc>
          <w:tcPr>
            <w:tcW w:type="dxa" w:w="2650"/>
            <w:tcMar>
              <w:top w:type="dxa" w:w="60"/>
              <w:left w:type="dxa" w:w="80"/>
              <w:bottom w:type="dxa" w:w="60"/>
              <w:right w:type="dxa" w:w="80"/>
            </w:tcMar>
          </w:tcPr>
          <w:p>
            <w:r>
              <w:rPr>
                <w:b w:val="false"/>
                <w:bCs w:val="false"/>
                <w:sz w:val="18"/>
                <w:szCs w:val="18"/>
              </w:rPr>
              <w:t xml:space="preserve">Cover-page metadata tagline still read “Traces to NCIE-001 Master Product Requirements Document v1.2 … and NCIE-002 System Architecture &amp; Technical Design v0.4” even though the Document Governance table immediately below it already correctly showed Requirements authority v1.3 and Architecture authority v0.5 — the identical stale-tagline defect pattern previously found and corrected during NCIE-002 v0.5's own verification pass (see that document's Verification Report, item 19).</w:t>
            </w:r>
          </w:p>
        </w:tc>
        <w:tc>
          <w:tcPr>
            <w:tcW w:type="dxa" w:w="3900"/>
            <w:tcMar>
              <w:top w:type="dxa" w:w="60"/>
              <w:left w:type="dxa" w:w="80"/>
              <w:bottom w:type="dxa" w:w="60"/>
              <w:right w:type="dxa" w:w="80"/>
            </w:tcMar>
          </w:tcPr>
          <w:p>
            <w:r>
              <w:rPr>
                <w:b w:val="false"/>
                <w:bCs w:val="false"/>
                <w:sz w:val="18"/>
                <w:szCs w:val="18"/>
              </w:rPr>
              <w:t xml:space="preserve">Corrected the cover tagline to read “Traces to approved NCIE-001 Master Product Requirements Document v1.3 (requirements authority) and approved NCIE-002 System Architecture &amp; Technical Design v0.5 (architecture authority).” No other text in the paragraph, page, or surrounding front matter was altered. Rebuild produced an identical paragraph count (5,682) to the pre-correction draft, confirming a document-control-only fix with no substantive drift.</w:t>
            </w:r>
          </w:p>
        </w:tc>
        <w:tc>
          <w:tcPr>
            <w:tcW w:type="dxa" w:w="1800"/>
            <w:tcMar>
              <w:top w:type="dxa" w:w="60"/>
              <w:left w:type="dxa" w:w="80"/>
              <w:bottom w:type="dxa" w:w="60"/>
              <w:right w:type="dxa" w:w="80"/>
            </w:tcMar>
          </w:tcPr>
          <w:p>
            <w:r>
              <w:rPr>
                <w:b w:val="false"/>
                <w:bCs w:val="false"/>
                <w:sz w:val="18"/>
                <w:szCs w:val="18"/>
              </w:rPr>
              <w:t xml:space="preserve">Administrative — directive §444-447 (cover/governance consistency hard gate), the specific gate this correction document exists to enforce.</w:t>
            </w:r>
          </w:p>
        </w:tc>
        <w:tc>
          <w:tcPr>
            <w:tcW w:type="dxa" w:w="1800"/>
            <w:tcMar>
              <w:top w:type="dxa" w:w="60"/>
              <w:left w:type="dxa" w:w="80"/>
              <w:bottom w:type="dxa" w:w="60"/>
              <w:right w:type="dxa" w:w="80"/>
            </w:tcMar>
          </w:tcPr>
          <w:p>
            <w:r>
              <w:rPr>
                <w:b w:val="false"/>
                <w:bCs w:val="false"/>
                <w:sz w:val="18"/>
                <w:szCs w:val="18"/>
              </w:rPr>
              <w:t xml:space="preserve">Document/version control is a mandatory pre-delivery gate, not a post-delivery correction — per this correction document's own framing.</w:t>
            </w:r>
          </w:p>
        </w:tc>
        <w:tc>
          <w:tcPr>
            <w:tcW w:type="dxa" w:w="1310"/>
            <w:tcMar>
              <w:top w:type="dxa" w:w="60"/>
              <w:left w:type="dxa" w:w="80"/>
              <w:bottom w:type="dxa" w:w="60"/>
              <w:right w:type="dxa" w:w="80"/>
            </w:tcMar>
          </w:tcPr>
          <w:p>
            <w:r>
              <w:rPr>
                <w:b w:val="false"/>
                <w:bCs w:val="false"/>
                <w:sz w:val="18"/>
                <w:szCs w:val="18"/>
              </w:rPr>
              <w:t xml:space="preserve">APPLIED (found and corrected during this verification pass)</w:t>
            </w:r>
          </w:p>
        </w:tc>
      </w:tr>
    </w:tbl>
    <w:p>
      <w:pPr>
        <w:spacing w:before="240"/>
      </w:pPr>
    </w:p>
    <w:p>
      <w:pPr>
        <w:spacing w:after="80"/>
      </w:pPr>
      <w:r>
        <w:rPr>
          <w:b/>
          <w:bCs/>
          <w:sz w:val="22"/>
          <w:szCs w:val="22"/>
        </w:rPr>
        <w:t xml:space="preserve">Traceability Convention</w:t>
      </w:r>
    </w:p>
    <w:p>
      <w:pPr>
        <w:spacing w:after="200"/>
      </w:pPr>
      <w:r>
        <w:rPr>
          <w:sz w:val="20"/>
          <w:szCs w:val="20"/>
        </w:rPr>
        <w:t xml:space="preserve">Every new or modified requirement traces to approved NCIE-001 v1.3, approved NCIE-002 v0.5 and/or approved NCIE-007 v1.1 using each chapter's existing Traceability/Authority line — no new or competing traceability scheme was introduced. Rows in the Ch.41 crosswalk for chapters this amendment did not touch continue to trace to the NCIE-002 architecture content that v0.5 preserves unchanged from v0.4; they are explicitly annotated as unaffected, not left as a competing current-authority claim.</w:t>
      </w:r>
    </w:p>
    <w:p>
      <w:pPr>
        <w:spacing w:after="80"/>
      </w:pPr>
      <w:r>
        <w:rPr>
          <w:b/>
          <w:bCs/>
          <w:sz w:val="22"/>
          <w:szCs w:val="22"/>
        </w:rPr>
        <w:t xml:space="preserve">Additional Consistency Amendments Found (Full-Document Contradiction Scan)</w:t>
      </w:r>
    </w:p>
    <w:p>
      <w:r>
        <w:rPr>
          <w:sz w:val="20"/>
          <w:szCs w:val="20"/>
        </w:rPr>
        <w:t xml:space="preserve">A full-document scan for stale current-authority version references (NCIE-001 v1.2; NCIE-002 v0.4 cited as current authority) found exactly one occurrence outside legitimate historical/front-matter text: the cover-page metadata tagline (AM-DOC, above). No other pre-existing stale or contradicting statement was found. A semantic scan for statements implying Agent Definition = Agent Run, Agent Pattern = Active Agent, Ephemeral Agent = Registered Reusable Agent, Agent Result Package = Validated AI Result, VPF PASS = Human Approval/Finding/Decision, Promotion Candidate = Registered Agent, Engineering Change Candidate = Implemented Capability, Agent Runtime Identity = Human Principal, or Gate A = Gate B found none; every governing invariant is stated explicitly and preserved throughout. No additional surgical amendment beyond AM-1 through AM-11 and AM-DOC was required.</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2026-09-04T05:21:46.977Z</dcterms:created>
  <dcterms:modified xsi:type="dcterms:W3CDTF">2026-09-04T05:21:46.978Z</dcterms:modified>
</cp:coreProperties>
</file>

<file path=docProps/custom.xml><?xml version="1.0" encoding="utf-8"?>
<Properties xmlns="http://schemas.openxmlformats.org/officeDocument/2006/custom-properties" xmlns:vt="http://schemas.openxmlformats.org/officeDocument/2006/docPropsVTypes"/>
</file>