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jc w:val="center"/>
      </w:pPr>
      <w:r>
        <w:rPr>
          <w:b/>
          <w:bCs/>
          <w:sz w:val="32"/>
          <w:szCs w:val="32"/>
        </w:rPr>
        <w:t xml:space="preserve">NCIE-004 v1.1 → v1.2</w:t>
      </w:r>
    </w:p>
    <w:p>
      <w:pPr>
        <w:spacing w:after="120"/>
        <w:jc w:val="center"/>
      </w:pPr>
      <w:r>
        <w:rPr>
          <w:b/>
          <w:bCs/>
          <w:sz w:val="28"/>
          <w:szCs w:val="28"/>
        </w:rPr>
        <w:t xml:space="preserve">Surgical Amendment Change Register</w:t>
      </w:r>
    </w:p>
    <w:p>
      <w:pPr>
        <w:spacing w:after="200"/>
        <w:jc w:val="center"/>
      </w:pPr>
      <w:r>
        <w:rPr>
          <w:i/>
          <w:iCs/>
          <w:sz w:val="20"/>
          <w:szCs w:val="20"/>
        </w:rPr>
        <w:t xml:space="preserve">VPF &amp; Dynamic Agent Synthesis Engineering Consistency Amendment — IN DEVELOPMENT / FOR HUMAN REVIEW</w:t>
      </w:r>
    </w:p>
    <w:p>
      <w:pPr>
        <w:spacing w:after="240"/>
      </w:pPr>
      <w:r>
        <w:rPr>
          <w:sz w:val="20"/>
          <w:szCs w:val="20"/>
        </w:rPr>
        <w:t xml:space="preserve">Authorities: Approved NCIE-001 — Master PRD v1.3, approved NCIE-002 — System Architecture &amp; Technical Design v0.5, approved NCIE-003 — Data Model &amp; Data Dictionary v0.4, and approved NCIE-007 — AI, Agent &amp; Model Orchestration Specification v1.1. The existing 36-chapter structure is unchanged; no chapter was added, removed or renumbered.</w:t>
      </w:r>
    </w:p>
    <w:tbl>
      <w:tblPr>
        <w:tblW w:type="dxa" w:w="145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2F5496" w:color="auto" w:val="clear"/>
            <w:tcMar>
              <w:top w:type="dxa" w:w="60"/>
              <w:left w:type="dxa" w:w="80"/>
              <w:bottom w:type="dxa" w:w="60"/>
              <w:right w:type="dxa" w:w="80"/>
            </w:tcMar>
          </w:tcPr>
          <w:p>
            <w:r>
              <w:rPr>
                <w:b/>
                <w:bCs/>
                <w:color w:val="FFFFFF"/>
                <w:sz w:val="18"/>
                <w:szCs w:val="18"/>
              </w:rPr>
              <w:t xml:space="preserve">Amendment ID</w:t>
            </w:r>
          </w:p>
        </w:tc>
        <w:tc>
          <w:tcPr>
            <w:tcW w:type="dxa" w:w="1500"/>
            <w:shd w:fill="2F5496" w:color="auto" w:val="clear"/>
            <w:tcMar>
              <w:top w:type="dxa" w:w="60"/>
              <w:left w:type="dxa" w:w="80"/>
              <w:bottom w:type="dxa" w:w="60"/>
              <w:right w:type="dxa" w:w="80"/>
            </w:tcMar>
          </w:tcPr>
          <w:p>
            <w:r>
              <w:rPr>
                <w:b/>
                <w:bCs/>
                <w:color w:val="FFFFFF"/>
                <w:sz w:val="18"/>
                <w:szCs w:val="18"/>
              </w:rPr>
              <w:t xml:space="preserve">Chapter/Section</w:t>
            </w:r>
          </w:p>
        </w:tc>
        <w:tc>
          <w:tcPr>
            <w:tcW w:type="dxa" w:w="2500"/>
            <w:shd w:fill="2F5496" w:color="auto" w:val="clear"/>
            <w:tcMar>
              <w:top w:type="dxa" w:w="60"/>
              <w:left w:type="dxa" w:w="80"/>
              <w:bottom w:type="dxa" w:w="60"/>
              <w:right w:type="dxa" w:w="80"/>
            </w:tcMar>
          </w:tcPr>
          <w:p>
            <w:r>
              <w:rPr>
                <w:b/>
                <w:bCs/>
                <w:color w:val="FFFFFF"/>
                <w:sz w:val="18"/>
                <w:szCs w:val="18"/>
              </w:rPr>
              <w:t xml:space="preserve">Previous Engineering Position (v1.1)</w:t>
            </w:r>
          </w:p>
        </w:tc>
        <w:tc>
          <w:tcPr>
            <w:tcW w:type="dxa" w:w="4200"/>
            <w:shd w:fill="2F5496" w:color="auto" w:val="clear"/>
            <w:tcMar>
              <w:top w:type="dxa" w:w="60"/>
              <w:left w:type="dxa" w:w="80"/>
              <w:bottom w:type="dxa" w:w="60"/>
              <w:right w:type="dxa" w:w="80"/>
            </w:tcMar>
          </w:tcPr>
          <w:p>
            <w:r>
              <w:rPr>
                <w:b/>
                <w:bCs/>
                <w:color w:val="FFFFFF"/>
                <w:sz w:val="18"/>
                <w:szCs w:val="18"/>
              </w:rPr>
              <w:t xml:space="preserve">Surgical Amendment (v1.2)</w:t>
            </w:r>
          </w:p>
        </w:tc>
        <w:tc>
          <w:tcPr>
            <w:tcW w:type="dxa" w:w="1700"/>
            <w:shd w:fill="2F5496" w:color="auto" w:val="clear"/>
            <w:tcMar>
              <w:top w:type="dxa" w:w="60"/>
              <w:left w:type="dxa" w:w="80"/>
              <w:bottom w:type="dxa" w:w="60"/>
              <w:right w:type="dxa" w:w="80"/>
            </w:tcMar>
          </w:tcPr>
          <w:p>
            <w:r>
              <w:rPr>
                <w:b/>
                <w:bCs/>
                <w:color w:val="FFFFFF"/>
                <w:sz w:val="18"/>
                <w:szCs w:val="18"/>
              </w:rPr>
              <w:t xml:space="preserve">Authority</w:t>
            </w:r>
          </w:p>
        </w:tc>
        <w:tc>
          <w:tcPr>
            <w:tcW w:type="dxa" w:w="1700"/>
            <w:shd w:fill="2F5496" w:color="auto" w:val="clear"/>
            <w:tcMar>
              <w:top w:type="dxa" w:w="60"/>
              <w:left w:type="dxa" w:w="80"/>
              <w:bottom w:type="dxa" w:w="60"/>
              <w:right w:type="dxa" w:w="80"/>
            </w:tcMar>
          </w:tcPr>
          <w:p>
            <w:r>
              <w:rPr>
                <w:b/>
                <w:bCs/>
                <w:color w:val="FFFFFF"/>
                <w:sz w:val="18"/>
                <w:szCs w:val="18"/>
              </w:rPr>
              <w:t xml:space="preserve">Reason</w:t>
            </w:r>
          </w:p>
        </w:tc>
        <w:tc>
          <w:tcPr>
            <w:tcW w:type="dxa" w:w="1310"/>
            <w:shd w:fill="2F5496" w:color="auto" w:val="clear"/>
            <w:tcMar>
              <w:top w:type="dxa" w:w="60"/>
              <w:left w:type="dxa" w:w="80"/>
              <w:bottom w:type="dxa" w:w="60"/>
              <w:right w:type="dxa" w:w="80"/>
            </w:tcMar>
          </w:tcPr>
          <w:p>
            <w:r>
              <w:rPr>
                <w:b/>
                <w:bCs/>
                <w:color w:val="FFFFFF"/>
                <w:sz w:val="18"/>
                <w:szCs w:val="18"/>
              </w:rPr>
              <w:t xml:space="preserve">Status</w:t>
            </w:r>
          </w:p>
        </w:tc>
      </w:tr>
      <w:tr>
        <w:tc>
          <w:tcPr>
            <w:tcW w:type="dxa" w:w="900"/>
            <w:tcMar>
              <w:top w:type="dxa" w:w="60"/>
              <w:left w:type="dxa" w:w="80"/>
              <w:bottom w:type="dxa" w:w="60"/>
              <w:right w:type="dxa" w:w="80"/>
            </w:tcMar>
          </w:tcPr>
          <w:p>
            <w:r>
              <w:rPr>
                <w:b/>
                <w:bCs/>
                <w:sz w:val="18"/>
                <w:szCs w:val="18"/>
              </w:rPr>
              <w:t xml:space="preserve">AM-1</w:t>
            </w:r>
          </w:p>
        </w:tc>
        <w:tc>
          <w:tcPr>
            <w:tcW w:type="dxa" w:w="1500"/>
            <w:tcMar>
              <w:top w:type="dxa" w:w="60"/>
              <w:left w:type="dxa" w:w="80"/>
              <w:bottom w:type="dxa" w:w="60"/>
              <w:right w:type="dxa" w:w="80"/>
            </w:tcMar>
          </w:tcPr>
          <w:p>
            <w:r>
              <w:rPr>
                <w:b w:val="false"/>
                <w:bCs w:val="false"/>
                <w:sz w:val="18"/>
                <w:szCs w:val="18"/>
              </w:rPr>
              <w:t xml:space="preserve">Ch.1, new §1.4</w:t>
            </w:r>
          </w:p>
        </w:tc>
        <w:tc>
          <w:tcPr>
            <w:tcW w:type="dxa" w:w="2500"/>
            <w:tcMar>
              <w:top w:type="dxa" w:w="60"/>
              <w:left w:type="dxa" w:w="80"/>
              <w:bottom w:type="dxa" w:w="60"/>
              <w:right w:type="dxa" w:w="80"/>
            </w:tcMar>
          </w:tcPr>
          <w:p>
            <w:r>
              <w:rPr>
                <w:b w:val="false"/>
                <w:bCs w:val="false"/>
                <w:sz w:val="18"/>
                <w:szCs w:val="18"/>
              </w:rPr>
              <w:t xml:space="preserve">No engineering-boundary recognition of Agent Factory, Ephemeral Agent Execution Runtime, VPF Runtime, VPF Gate A/B, Agent/Pattern/VPF Profile Registries, or Control/Execution Plane separation.</w:t>
            </w:r>
          </w:p>
        </w:tc>
        <w:tc>
          <w:tcPr>
            <w:tcW w:type="dxa" w:w="4200"/>
            <w:tcMar>
              <w:top w:type="dxa" w:w="60"/>
              <w:left w:type="dxa" w:w="80"/>
              <w:bottom w:type="dxa" w:w="60"/>
              <w:right w:type="dxa" w:w="80"/>
            </w:tcMar>
          </w:tcPr>
          <w:p>
            <w:r>
              <w:rPr>
                <w:b w:val="false"/>
                <w:bCs w:val="false"/>
                <w:sz w:val="18"/>
                <w:szCs w:val="18"/>
              </w:rPr>
              <w:t xml:space="preserve">Added §1.4 recognizing these 9 logical capabilities as within NCIE-004's engineering boundary, without redesigning existing Model Gateway/Tool Gateway/workflow/data/security engineering. States ENGINEERING BLUEPRINT APPROVED ≠ PRODUCTION CAPABILITY ACTIVATED.</w:t>
            </w:r>
          </w:p>
        </w:tc>
        <w:tc>
          <w:tcPr>
            <w:tcW w:type="dxa" w:w="1700"/>
            <w:tcMar>
              <w:top w:type="dxa" w:w="60"/>
              <w:left w:type="dxa" w:w="80"/>
              <w:bottom w:type="dxa" w:w="60"/>
              <w:right w:type="dxa" w:w="80"/>
            </w:tcMar>
          </w:tcPr>
          <w:p>
            <w:r>
              <w:rPr>
                <w:b w:val="false"/>
                <w:bCs w:val="false"/>
                <w:sz w:val="18"/>
                <w:szCs w:val="18"/>
              </w:rPr>
              <w:t xml:space="preserve">Approved NCIE-001 v1.3; NCIE-002 v0.5; NCIE-003 v0.4; NCIE-007 v1.1.</w:t>
            </w:r>
          </w:p>
        </w:tc>
        <w:tc>
          <w:tcPr>
            <w:tcW w:type="dxa" w:w="1700"/>
            <w:tcMar>
              <w:top w:type="dxa" w:w="60"/>
              <w:left w:type="dxa" w:w="80"/>
              <w:bottom w:type="dxa" w:w="60"/>
              <w:right w:type="dxa" w:w="80"/>
            </w:tcMar>
          </w:tcPr>
          <w:p>
            <w:r>
              <w:rPr>
                <w:b w:val="false"/>
                <w:bCs w:val="false"/>
                <w:sz w:val="18"/>
                <w:szCs w:val="18"/>
              </w:rPr>
              <w:t xml:space="preserve">Directive Consolidated v2 §4-5 required a concise engineering-boundary extension without detailed implementation.</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w:t>
            </w:r>
          </w:p>
        </w:tc>
        <w:tc>
          <w:tcPr>
            <w:tcW w:type="dxa" w:w="1500"/>
            <w:tcMar>
              <w:top w:type="dxa" w:w="60"/>
              <w:left w:type="dxa" w:w="80"/>
              <w:bottom w:type="dxa" w:w="60"/>
              <w:right w:type="dxa" w:w="80"/>
            </w:tcMar>
          </w:tcPr>
          <w:p>
            <w:r>
              <w:rPr>
                <w:b w:val="false"/>
                <w:bCs w:val="false"/>
                <w:sz w:val="18"/>
                <w:szCs w:val="18"/>
              </w:rPr>
              <w:t xml:space="preserve">Ch.4, 3 new TD rows (TD-4-6..8), new §4.3</w:t>
            </w:r>
          </w:p>
        </w:tc>
        <w:tc>
          <w:tcPr>
            <w:tcW w:type="dxa" w:w="2500"/>
            <w:tcMar>
              <w:top w:type="dxa" w:w="60"/>
              <w:left w:type="dxa" w:w="80"/>
              <w:bottom w:type="dxa" w:w="60"/>
              <w:right w:type="dxa" w:w="80"/>
            </w:tcMar>
          </w:tcPr>
          <w:p>
            <w:r>
              <w:rPr>
                <w:b w:val="false"/>
                <w:bCs w:val="false"/>
                <w:sz w:val="18"/>
                <w:szCs w:val="18"/>
              </w:rPr>
              <w:t xml:space="preserve">Containerization/orchestration covered ordinary service workloads; no Ephemeral Agent Runtime isolation, expiry/kill or resource-ceiling requirements.</w:t>
            </w:r>
          </w:p>
        </w:tc>
        <w:tc>
          <w:tcPr>
            <w:tcW w:type="dxa" w:w="4200"/>
            <w:tcMar>
              <w:top w:type="dxa" w:w="60"/>
              <w:left w:type="dxa" w:w="80"/>
              <w:bottom w:type="dxa" w:w="60"/>
              <w:right w:type="dxa" w:w="80"/>
            </w:tcMar>
          </w:tcPr>
          <w:p>
            <w:r>
              <w:rPr>
                <w:b w:val="false"/>
                <w:bCs w:val="false"/>
                <w:sz w:val="18"/>
                <w:szCs w:val="18"/>
              </w:rPr>
              <w:t xml:space="preserve">Added TD-4-6 (Ephemeral Agent Runtime isolation), TD-4-7 (Agent runtime expiry/kill), TD-4-8 (Agent resource ceilings). Added §4.3 Ephemeral Agent Execution Plane Boundary (no admin write access to Registries; recovery never resumes a Run whose Task Contract/authorization/Definition is invalid).</w:t>
            </w:r>
          </w:p>
        </w:tc>
        <w:tc>
          <w:tcPr>
            <w:tcW w:type="dxa" w:w="1700"/>
            <w:tcMar>
              <w:top w:type="dxa" w:w="60"/>
              <w:left w:type="dxa" w:w="80"/>
              <w:bottom w:type="dxa" w:w="60"/>
              <w:right w:type="dxa" w:w="80"/>
            </w:tcMar>
          </w:tcPr>
          <w:p>
            <w:r>
              <w:rPr>
                <w:b w:val="false"/>
                <w:bCs w:val="false"/>
                <w:sz w:val="18"/>
                <w:szCs w:val="18"/>
              </w:rPr>
              <w:t xml:space="preserve">NCIE-007 v1.1 Ch.11-12; NCIE-003 v0.4 Ch.3 §3.9.</w:t>
            </w:r>
          </w:p>
        </w:tc>
        <w:tc>
          <w:tcPr>
            <w:tcW w:type="dxa" w:w="1700"/>
            <w:tcMar>
              <w:top w:type="dxa" w:w="60"/>
              <w:left w:type="dxa" w:w="80"/>
              <w:bottom w:type="dxa" w:w="60"/>
              <w:right w:type="dxa" w:w="80"/>
            </w:tcMar>
          </w:tcPr>
          <w:p>
            <w:r>
              <w:rPr>
                <w:b w:val="false"/>
                <w:bCs w:val="false"/>
                <w:sz w:val="18"/>
                <w:szCs w:val="18"/>
              </w:rPr>
              <w:t xml:space="preserve">Directive §6-13 required workload isolation, runtime identity, resource ceilings, expiry and kill/suspend support.</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AM-3</w:t>
            </w:r>
          </w:p>
        </w:tc>
        <w:tc>
          <w:tcPr>
            <w:tcW w:type="dxa" w:w="1500"/>
            <w:tcMar>
              <w:top w:type="dxa" w:w="60"/>
              <w:left w:type="dxa" w:w="80"/>
              <w:bottom w:type="dxa" w:w="60"/>
              <w:right w:type="dxa" w:w="80"/>
            </w:tcMar>
          </w:tcPr>
          <w:p>
            <w:r>
              <w:rPr>
                <w:b w:val="false"/>
                <w:bCs w:val="false"/>
                <w:sz w:val="18"/>
                <w:szCs w:val="18"/>
              </w:rPr>
              <w:t xml:space="preserve">Ch.18, 2 new TD rows (TD-18-7..8), new §18.4</w:t>
            </w:r>
          </w:p>
        </w:tc>
        <w:tc>
          <w:tcPr>
            <w:tcW w:type="dxa" w:w="2500"/>
            <w:tcMar>
              <w:top w:type="dxa" w:w="60"/>
              <w:left w:type="dxa" w:w="80"/>
              <w:bottom w:type="dxa" w:w="60"/>
              <w:right w:type="dxa" w:w="80"/>
            </w:tcMar>
          </w:tcPr>
          <w:p>
            <w:r>
              <w:rPr>
                <w:b w:val="false"/>
                <w:bCs w:val="false"/>
                <w:sz w:val="18"/>
                <w:szCs w:val="18"/>
              </w:rPr>
              <w:t xml:space="preserve">Model Gateway architecture did not explicitly address Agent Run callers or Agent-specific route provenance.</w:t>
            </w:r>
          </w:p>
        </w:tc>
        <w:tc>
          <w:tcPr>
            <w:tcW w:type="dxa" w:w="4200"/>
            <w:tcMar>
              <w:top w:type="dxa" w:w="60"/>
              <w:left w:type="dxa" w:w="80"/>
              <w:bottom w:type="dxa" w:w="60"/>
              <w:right w:type="dxa" w:w="80"/>
            </w:tcMar>
          </w:tcPr>
          <w:p>
            <w:r>
              <w:rPr>
                <w:b w:val="false"/>
                <w:bCs w:val="false"/>
                <w:sz w:val="18"/>
                <w:szCs w:val="18"/>
              </w:rPr>
              <w:t xml:space="preserve">Added TD-18-7 (Agent model routing — AGENT → MODEL GATEWAY → ELIGIBLE MODEL, never arbitrary provider) and TD-18-8 (Agent model route provenance for NCIE-003 traceability). Added §18.4 stating fallback/outage behavior mirrors ARGUS direct-use policy.</w:t>
            </w:r>
          </w:p>
        </w:tc>
        <w:tc>
          <w:tcPr>
            <w:tcW w:type="dxa" w:w="1700"/>
            <w:tcMar>
              <w:top w:type="dxa" w:w="60"/>
              <w:left w:type="dxa" w:w="80"/>
              <w:bottom w:type="dxa" w:w="60"/>
              <w:right w:type="dxa" w:w="80"/>
            </w:tcMar>
          </w:tcPr>
          <w:p>
            <w:r>
              <w:rPr>
                <w:b w:val="false"/>
                <w:bCs w:val="false"/>
                <w:sz w:val="18"/>
                <w:szCs w:val="18"/>
              </w:rPr>
              <w:t xml:space="preserve">NCIE-007 v1.1 Ch.11.</w:t>
            </w:r>
          </w:p>
        </w:tc>
        <w:tc>
          <w:tcPr>
            <w:tcW w:type="dxa" w:w="1700"/>
            <w:tcMar>
              <w:top w:type="dxa" w:w="60"/>
              <w:left w:type="dxa" w:w="80"/>
              <w:bottom w:type="dxa" w:w="60"/>
              <w:right w:type="dxa" w:w="80"/>
            </w:tcMar>
          </w:tcPr>
          <w:p>
            <w:r>
              <w:rPr>
                <w:b w:val="false"/>
                <w:bCs w:val="false"/>
                <w:sz w:val="18"/>
                <w:szCs w:val="18"/>
              </w:rPr>
              <w:t xml:space="preserve">Directive §14-18 required the existing provider-neutral Model Gateway to explicitly govern Agent access.</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AM-4</w:t>
            </w:r>
          </w:p>
        </w:tc>
        <w:tc>
          <w:tcPr>
            <w:tcW w:type="dxa" w:w="1500"/>
            <w:tcMar>
              <w:top w:type="dxa" w:w="60"/>
              <w:left w:type="dxa" w:w="80"/>
              <w:bottom w:type="dxa" w:w="60"/>
              <w:right w:type="dxa" w:w="80"/>
            </w:tcMar>
          </w:tcPr>
          <w:p>
            <w:r>
              <w:rPr>
                <w:b w:val="false"/>
                <w:bCs w:val="false"/>
                <w:sz w:val="18"/>
                <w:szCs w:val="18"/>
              </w:rPr>
              <w:t xml:space="preserve">Ch.19, 3 new TD rows (TD-19-7..9), new §19.3</w:t>
            </w:r>
          </w:p>
        </w:tc>
        <w:tc>
          <w:tcPr>
            <w:tcW w:type="dxa" w:w="2500"/>
            <w:tcMar>
              <w:top w:type="dxa" w:w="60"/>
              <w:left w:type="dxa" w:w="80"/>
              <w:bottom w:type="dxa" w:w="60"/>
              <w:right w:type="dxa" w:w="80"/>
            </w:tcMar>
          </w:tcPr>
          <w:p>
            <w:r>
              <w:rPr>
                <w:b w:val="false"/>
                <w:bCs w:val="false"/>
                <w:sz w:val="18"/>
                <w:szCs w:val="18"/>
              </w:rPr>
              <w:t xml:space="preserve">Evaluation/guardrail architecture covered ARGUS model/provider evaluation only; no Agent Definition/Pattern/Factory or VPF Profile/Validator evaluation, and no shadow-evaluation provision.</w:t>
            </w:r>
          </w:p>
        </w:tc>
        <w:tc>
          <w:tcPr>
            <w:tcW w:type="dxa" w:w="4200"/>
            <w:tcMar>
              <w:top w:type="dxa" w:w="60"/>
              <w:left w:type="dxa" w:w="80"/>
              <w:bottom w:type="dxa" w:w="60"/>
              <w:right w:type="dxa" w:w="80"/>
            </w:tcMar>
          </w:tcPr>
          <w:p>
            <w:r>
              <w:rPr>
                <w:b w:val="false"/>
                <w:bCs w:val="false"/>
                <w:sz w:val="18"/>
                <w:szCs w:val="18"/>
              </w:rPr>
              <w:t xml:space="preserve">Added TD-19-7 (Agent/Pattern/Factory evaluation), TD-19-8 (VPF Profile/validator evaluation), TD-19-9 (Shadow evaluation). Added §19.3 stating AGENT EVALUATION ≠ VPF GATE A/B.</w:t>
            </w:r>
          </w:p>
        </w:tc>
        <w:tc>
          <w:tcPr>
            <w:tcW w:type="dxa" w:w="1700"/>
            <w:tcMar>
              <w:top w:type="dxa" w:w="60"/>
              <w:left w:type="dxa" w:w="80"/>
              <w:bottom w:type="dxa" w:w="60"/>
              <w:right w:type="dxa" w:w="80"/>
            </w:tcMar>
          </w:tcPr>
          <w:p>
            <w:r>
              <w:rPr>
                <w:b w:val="false"/>
                <w:bCs w:val="false"/>
                <w:sz w:val="18"/>
                <w:szCs w:val="18"/>
              </w:rPr>
              <w:t xml:space="preserve">NCIE-007 v1.1 Ch.32.</w:t>
            </w:r>
          </w:p>
        </w:tc>
        <w:tc>
          <w:tcPr>
            <w:tcW w:type="dxa" w:w="1700"/>
            <w:tcMar>
              <w:top w:type="dxa" w:w="60"/>
              <w:left w:type="dxa" w:w="80"/>
              <w:bottom w:type="dxa" w:w="60"/>
              <w:right w:type="dxa" w:w="80"/>
            </w:tcMar>
          </w:tcPr>
          <w:p>
            <w:r>
              <w:rPr>
                <w:b w:val="false"/>
                <w:bCs w:val="false"/>
                <w:sz w:val="18"/>
                <w:szCs w:val="18"/>
              </w:rPr>
              <w:t xml:space="preserve">Directive §19-23 required evaluation-suite extension without conflating evaluation with VPF gating.</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AM-5</w:t>
            </w:r>
          </w:p>
        </w:tc>
        <w:tc>
          <w:tcPr>
            <w:tcW w:type="dxa" w:w="1500"/>
            <w:tcMar>
              <w:top w:type="dxa" w:w="60"/>
              <w:left w:type="dxa" w:w="80"/>
              <w:bottom w:type="dxa" w:w="60"/>
              <w:right w:type="dxa" w:w="80"/>
            </w:tcMar>
          </w:tcPr>
          <w:p>
            <w:r>
              <w:rPr>
                <w:b w:val="false"/>
                <w:bCs w:val="false"/>
                <w:sz w:val="18"/>
                <w:szCs w:val="18"/>
              </w:rPr>
              <w:t xml:space="preserve">Ch.20 (principal amendment): TD-20-3 superseded, TD-20-4 clarified, 8 new TD rows (TD-20-6..13), new §20.4-§20.9</w:t>
            </w:r>
          </w:p>
        </w:tc>
        <w:tc>
          <w:tcPr>
            <w:tcW w:type="dxa" w:w="2500"/>
            <w:tcMar>
              <w:top w:type="dxa" w:w="60"/>
              <w:left w:type="dxa" w:w="80"/>
              <w:bottom w:type="dxa" w:w="60"/>
              <w:right w:type="dxa" w:w="80"/>
            </w:tcMar>
          </w:tcPr>
          <w:p>
            <w:r>
              <w:rPr>
                <w:b w:val="false"/>
                <w:bCs w:val="false"/>
                <w:sz w:val="18"/>
                <w:szCs w:val="18"/>
              </w:rPr>
              <w:t xml:space="preserve">TD-20-3 stated the Agent orchestrator as workflow-engine-hosted agent tasks, not a separate runtime. TD-20-4's Sandboxing scope was undifferentiated. No Agent Factory, Ephemeral Execution Plane, VPF Runtime, Gate A/B, Agent/Pattern/VPF Profile Registry, or generated-code boundary existed.</w:t>
            </w:r>
          </w:p>
        </w:tc>
        <w:tc>
          <w:tcPr>
            <w:tcW w:type="dxa" w:w="4200"/>
            <w:tcMar>
              <w:top w:type="dxa" w:w="60"/>
              <w:left w:type="dxa" w:w="80"/>
              <w:bottom w:type="dxa" w:w="60"/>
              <w:right w:type="dxa" w:w="80"/>
            </w:tcMar>
          </w:tcPr>
          <w:p>
            <w:r>
              <w:rPr>
                <w:b w:val="false"/>
                <w:bCs w:val="false"/>
                <w:sz w:val="18"/>
                <w:szCs w:val="18"/>
              </w:rPr>
              <w:t xml:space="preserve">TD-20-3 marked SUPERSEDED / AMENDED BY NCIE-004 v1.2 (historical v1.1 position preserved in-cell, not deleted); replacement position is Durable Workflow Engine (Ch.10, unchanged) + Agent Factory/Control Plane (§20.4) + Ephemeral Agent Execution Plane (§20.5). TD-20-4 CLARIFIED to scope configuration/composition-based Ephemeral Agents specifically; generated-code isolation tracked separately as new TD-20-13. Added TD-20-6 (Agent Factory) through TD-20-12 (VPF Profile Registry) and TD-20-13 (Generated-code execution, not activated). Added §20.4 Agent Factory, §20.5 Ephemeral Agent Execution Plane, §20.6 VPF Runtime/Gate A/Gate B, §20.7 Registries and Promotion, §20.8 Recursive Synthesis and Multi-Agent Boundary, §20.9 Generated-Code Boundary.</w:t>
            </w:r>
          </w:p>
        </w:tc>
        <w:tc>
          <w:tcPr>
            <w:tcW w:type="dxa" w:w="1700"/>
            <w:tcMar>
              <w:top w:type="dxa" w:w="60"/>
              <w:left w:type="dxa" w:w="80"/>
              <w:bottom w:type="dxa" w:w="60"/>
              <w:right w:type="dxa" w:w="80"/>
            </w:tcMar>
          </w:tcPr>
          <w:p>
            <w:r>
              <w:rPr>
                <w:b w:val="false"/>
                <w:bCs w:val="false"/>
                <w:sz w:val="18"/>
                <w:szCs w:val="18"/>
              </w:rPr>
              <w:t xml:space="preserve">Approved NCIE-001 v1.3 §12.77-§12.80A; NCIE-002 v0.5 Ch.24 §24.4A; NCIE-003 v0.4 Ch.3 §3.9; NCIE-007 v1.1 Ch.11-12, Ch.26.</w:t>
            </w:r>
          </w:p>
        </w:tc>
        <w:tc>
          <w:tcPr>
            <w:tcW w:type="dxa" w:w="1700"/>
            <w:tcMar>
              <w:top w:type="dxa" w:w="60"/>
              <w:left w:type="dxa" w:w="80"/>
              <w:bottom w:type="dxa" w:w="60"/>
              <w:right w:type="dxa" w:w="80"/>
            </w:tcMar>
          </w:tcPr>
          <w:p>
            <w:r>
              <w:rPr>
                <w:b w:val="false"/>
                <w:bCs w:val="false"/>
                <w:sz w:val="18"/>
                <w:szCs w:val="18"/>
              </w:rPr>
              <w:t xml:space="preserve">Directive §24-56 designated Ch.20 the principal engineering amendment, explicitly requiring TD-20-3 surgical supersession (not deletion) while preserving Tool Gateway/Tool Registry/execution-receipt architecture unchanged.</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AM-6</w:t>
            </w:r>
          </w:p>
        </w:tc>
        <w:tc>
          <w:tcPr>
            <w:tcW w:type="dxa" w:w="1500"/>
            <w:tcMar>
              <w:top w:type="dxa" w:w="60"/>
              <w:left w:type="dxa" w:w="80"/>
              <w:bottom w:type="dxa" w:w="60"/>
              <w:right w:type="dxa" w:w="80"/>
            </w:tcMar>
          </w:tcPr>
          <w:p>
            <w:r>
              <w:rPr>
                <w:b w:val="false"/>
                <w:bCs w:val="false"/>
                <w:sz w:val="18"/>
                <w:szCs w:val="18"/>
              </w:rPr>
              <w:t xml:space="preserve">Ch.23, 2 new TD rows (TD-23-7..8), new §23.2</w:t>
            </w:r>
          </w:p>
        </w:tc>
        <w:tc>
          <w:tcPr>
            <w:tcW w:type="dxa" w:w="2500"/>
            <w:tcMar>
              <w:top w:type="dxa" w:w="60"/>
              <w:left w:type="dxa" w:w="80"/>
              <w:bottom w:type="dxa" w:w="60"/>
              <w:right w:type="dxa" w:w="80"/>
            </w:tcMar>
          </w:tcPr>
          <w:p>
            <w:r>
              <w:rPr>
                <w:b w:val="false"/>
                <w:bCs w:val="false"/>
                <w:sz w:val="18"/>
                <w:szCs w:val="18"/>
              </w:rPr>
              <w:t xml:space="preserve">Identity taxonomy (Human Principal/ARGUS/Service Identity) had no Agent Factory/VPF/Registry workload-identity class or explicit current-authorization re-evaluation requirement for Agent Runs.</w:t>
            </w:r>
          </w:p>
        </w:tc>
        <w:tc>
          <w:tcPr>
            <w:tcW w:type="dxa" w:w="4200"/>
            <w:tcMar>
              <w:top w:type="dxa" w:w="60"/>
              <w:left w:type="dxa" w:w="80"/>
              <w:bottom w:type="dxa" w:w="60"/>
              <w:right w:type="dxa" w:w="80"/>
            </w:tcMar>
          </w:tcPr>
          <w:p>
            <w:r>
              <w:rPr>
                <w:b w:val="false"/>
                <w:bCs w:val="false"/>
                <w:sz w:val="18"/>
                <w:szCs w:val="18"/>
              </w:rPr>
              <w:t xml:space="preserve">Added TD-23-7 (Agent Factory/VPF/Registry workload identity) and TD-23-8 (Agent Run current-authorization evaluation — REMEMBERED AUTHORIZATION ≠ CURRENT AUTHORIZATION). Added §23.2 Agent Runtime Identity Boundary.</w:t>
            </w:r>
          </w:p>
        </w:tc>
        <w:tc>
          <w:tcPr>
            <w:tcW w:type="dxa" w:w="1700"/>
            <w:tcMar>
              <w:top w:type="dxa" w:w="60"/>
              <w:left w:type="dxa" w:w="80"/>
              <w:bottom w:type="dxa" w:w="60"/>
              <w:right w:type="dxa" w:w="80"/>
            </w:tcMar>
          </w:tcPr>
          <w:p>
            <w:r>
              <w:rPr>
                <w:b w:val="false"/>
                <w:bCs w:val="false"/>
                <w:sz w:val="18"/>
                <w:szCs w:val="18"/>
              </w:rPr>
              <w:t xml:space="preserve">NCIE-007 v1.1 Ch.14.</w:t>
            </w:r>
          </w:p>
        </w:tc>
        <w:tc>
          <w:tcPr>
            <w:tcW w:type="dxa" w:w="1700"/>
            <w:tcMar>
              <w:top w:type="dxa" w:w="60"/>
              <w:left w:type="dxa" w:w="80"/>
              <w:bottom w:type="dxa" w:w="60"/>
              <w:right w:type="dxa" w:w="80"/>
            </w:tcMar>
          </w:tcPr>
          <w:p>
            <w:r>
              <w:rPr>
                <w:b w:val="false"/>
                <w:bCs w:val="false"/>
                <w:sz w:val="18"/>
                <w:szCs w:val="18"/>
              </w:rPr>
              <w:t xml:space="preserve">Directive §47-49 (repair block) required distinct Agent/VPF workload identity without redesigning IAM.</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AM-7</w:t>
            </w:r>
          </w:p>
        </w:tc>
        <w:tc>
          <w:tcPr>
            <w:tcW w:type="dxa" w:w="1500"/>
            <w:tcMar>
              <w:top w:type="dxa" w:w="60"/>
              <w:left w:type="dxa" w:w="80"/>
              <w:bottom w:type="dxa" w:w="60"/>
              <w:right w:type="dxa" w:w="80"/>
            </w:tcMar>
          </w:tcPr>
          <w:p>
            <w:r>
              <w:rPr>
                <w:b w:val="false"/>
                <w:bCs w:val="false"/>
                <w:sz w:val="18"/>
                <w:szCs w:val="18"/>
              </w:rPr>
              <w:t xml:space="preserve">Ch.24, 1 new TD row (TD-24-6)</w:t>
            </w:r>
          </w:p>
        </w:tc>
        <w:tc>
          <w:tcPr>
            <w:tcW w:type="dxa" w:w="2500"/>
            <w:tcMar>
              <w:top w:type="dxa" w:w="60"/>
              <w:left w:type="dxa" w:w="80"/>
              <w:bottom w:type="dxa" w:w="60"/>
              <w:right w:type="dxa" w:w="80"/>
            </w:tcMar>
          </w:tcPr>
          <w:p>
            <w:r>
              <w:rPr>
                <w:b w:val="false"/>
                <w:bCs w:val="false"/>
                <w:sz w:val="18"/>
                <w:szCs w:val="18"/>
              </w:rPr>
              <w:t xml:space="preserve">Secrets architecture covered application services; no explicit Agent Factory/Ephemeral Runtime/VPF secret-scoping rule.</w:t>
            </w:r>
          </w:p>
        </w:tc>
        <w:tc>
          <w:tcPr>
            <w:tcW w:type="dxa" w:w="4200"/>
            <w:tcMar>
              <w:top w:type="dxa" w:w="60"/>
              <w:left w:type="dxa" w:w="80"/>
              <w:bottom w:type="dxa" w:w="60"/>
              <w:right w:type="dxa" w:w="80"/>
            </w:tcMar>
          </w:tcPr>
          <w:p>
            <w:r>
              <w:rPr>
                <w:b w:val="false"/>
                <w:bCs w:val="false"/>
                <w:sz w:val="18"/>
                <w:szCs w:val="18"/>
              </w:rPr>
              <w:t xml:space="preserve">Added TD-24-6 (Agent/VPF secret scoping — minimum-necessary, task-scoped, revocable; never plaintext in Agent Definitions, prompts, generated code, logs or VPF Validation Artifacts).</w:t>
            </w:r>
          </w:p>
        </w:tc>
        <w:tc>
          <w:tcPr>
            <w:tcW w:type="dxa" w:w="1700"/>
            <w:tcMar>
              <w:top w:type="dxa" w:w="60"/>
              <w:left w:type="dxa" w:w="80"/>
              <w:bottom w:type="dxa" w:w="60"/>
              <w:right w:type="dxa" w:w="80"/>
            </w:tcMar>
          </w:tcPr>
          <w:p>
            <w:r>
              <w:rPr>
                <w:b w:val="false"/>
                <w:bCs w:val="false"/>
                <w:sz w:val="18"/>
                <w:szCs w:val="18"/>
              </w:rPr>
              <w:t xml:space="preserve">NCIE-007 v1.1 Ch.11-12.</w:t>
            </w:r>
          </w:p>
        </w:tc>
        <w:tc>
          <w:tcPr>
            <w:tcW w:type="dxa" w:w="1700"/>
            <w:tcMar>
              <w:top w:type="dxa" w:w="60"/>
              <w:left w:type="dxa" w:w="80"/>
              <w:bottom w:type="dxa" w:w="60"/>
              <w:right w:type="dxa" w:w="80"/>
            </w:tcMar>
          </w:tcPr>
          <w:p>
            <w:r>
              <w:rPr>
                <w:b w:val="false"/>
                <w:bCs w:val="false"/>
                <w:sz w:val="18"/>
                <w:szCs w:val="18"/>
              </w:rPr>
              <w:t xml:space="preserve">Directive §50-51 required secrets architecture extension to the new components.</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AM-8</w:t>
            </w:r>
          </w:p>
        </w:tc>
        <w:tc>
          <w:tcPr>
            <w:tcW w:type="dxa" w:w="1500"/>
            <w:tcMar>
              <w:top w:type="dxa" w:w="60"/>
              <w:left w:type="dxa" w:w="80"/>
              <w:bottom w:type="dxa" w:w="60"/>
              <w:right w:type="dxa" w:w="80"/>
            </w:tcMar>
          </w:tcPr>
          <w:p>
            <w:r>
              <w:rPr>
                <w:b w:val="false"/>
                <w:bCs w:val="false"/>
                <w:sz w:val="18"/>
                <w:szCs w:val="18"/>
              </w:rPr>
              <w:t xml:space="preserve">Ch.25, 2 new TD rows (TD-25-7..8)</w:t>
            </w:r>
          </w:p>
        </w:tc>
        <w:tc>
          <w:tcPr>
            <w:tcW w:type="dxa" w:w="2500"/>
            <w:tcMar>
              <w:top w:type="dxa" w:w="60"/>
              <w:left w:type="dxa" w:w="80"/>
              <w:bottom w:type="dxa" w:w="60"/>
              <w:right w:type="dxa" w:w="80"/>
            </w:tcMar>
          </w:tcPr>
          <w:p>
            <w:r>
              <w:rPr>
                <w:b w:val="false"/>
                <w:bCs w:val="false"/>
                <w:sz w:val="18"/>
                <w:szCs w:val="18"/>
              </w:rPr>
              <w:t xml:space="preserve">Data protection/DLP architecture covered Ghana Card/Passport and Anti-Fraud data; no Agent egress-control or prompt-injection/instruction-authority containment rule.</w:t>
            </w:r>
          </w:p>
        </w:tc>
        <w:tc>
          <w:tcPr>
            <w:tcW w:type="dxa" w:w="4200"/>
            <w:tcMar>
              <w:top w:type="dxa" w:w="60"/>
              <w:left w:type="dxa" w:w="80"/>
              <w:bottom w:type="dxa" w:w="60"/>
              <w:right w:type="dxa" w:w="80"/>
            </w:tcMar>
          </w:tcPr>
          <w:p>
            <w:r>
              <w:rPr>
                <w:b w:val="false"/>
                <w:bCs w:val="false"/>
                <w:sz w:val="18"/>
                <w:szCs w:val="18"/>
              </w:rPr>
              <w:t xml:space="preserve">Added TD-25-7 (Agent egress control — deny-by-default external egress) and TD-25-8 (Prompt-injection/instruction-authority containment — EVIDENCE ≠ INSTRUCTION; TOOL OUTPUT ≠ POLICY; AGENT OUTPUT ≠ AUTHORITY).</w:t>
            </w:r>
          </w:p>
        </w:tc>
        <w:tc>
          <w:tcPr>
            <w:tcW w:type="dxa" w:w="1700"/>
            <w:tcMar>
              <w:top w:type="dxa" w:w="60"/>
              <w:left w:type="dxa" w:w="80"/>
              <w:bottom w:type="dxa" w:w="60"/>
              <w:right w:type="dxa" w:w="80"/>
            </w:tcMar>
          </w:tcPr>
          <w:p>
            <w:r>
              <w:rPr>
                <w:b w:val="false"/>
                <w:bCs w:val="false"/>
                <w:sz w:val="18"/>
                <w:szCs w:val="18"/>
              </w:rPr>
              <w:t xml:space="preserve">NCIE-007 v1.1 Ch.11-12 (directive's Ch.25 = "Network/DLP" scope item).</w:t>
            </w:r>
          </w:p>
        </w:tc>
        <w:tc>
          <w:tcPr>
            <w:tcW w:type="dxa" w:w="1700"/>
            <w:tcMar>
              <w:top w:type="dxa" w:w="60"/>
              <w:left w:type="dxa" w:w="80"/>
              <w:bottom w:type="dxa" w:w="60"/>
              <w:right w:type="dxa" w:w="80"/>
            </w:tcMar>
          </w:tcPr>
          <w:p>
            <w:r>
              <w:rPr>
                <w:b w:val="false"/>
                <w:bCs w:val="false"/>
                <w:sz w:val="18"/>
                <w:szCs w:val="18"/>
              </w:rPr>
              <w:t xml:space="preserve">Directive §52-57 required Agent-specific network/DLP extension without redesigning existing DLP architecture.</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AM-9</w:t>
            </w:r>
          </w:p>
        </w:tc>
        <w:tc>
          <w:tcPr>
            <w:tcW w:type="dxa" w:w="1500"/>
            <w:tcMar>
              <w:top w:type="dxa" w:w="60"/>
              <w:left w:type="dxa" w:w="80"/>
              <w:bottom w:type="dxa" w:w="60"/>
              <w:right w:type="dxa" w:w="80"/>
            </w:tcMar>
          </w:tcPr>
          <w:p>
            <w:r>
              <w:rPr>
                <w:b w:val="false"/>
                <w:bCs w:val="false"/>
                <w:sz w:val="18"/>
                <w:szCs w:val="18"/>
              </w:rPr>
              <w:t xml:space="preserve">Ch.26, 2 new TD rows (TD-26-7..8)</w:t>
            </w:r>
          </w:p>
        </w:tc>
        <w:tc>
          <w:tcPr>
            <w:tcW w:type="dxa" w:w="2500"/>
            <w:tcMar>
              <w:top w:type="dxa" w:w="60"/>
              <w:left w:type="dxa" w:w="80"/>
              <w:bottom w:type="dxa" w:w="60"/>
              <w:right w:type="dxa" w:w="80"/>
            </w:tcMar>
          </w:tcPr>
          <w:p>
            <w:r>
              <w:rPr>
                <w:b w:val="false"/>
                <w:bCs w:val="false"/>
                <w:sz w:val="18"/>
                <w:szCs w:val="18"/>
              </w:rPr>
              <w:t xml:space="preserve">Five observability signal categories (Platform/Pipeline/Sector/ARGUS/Security) had no Agent Factory/Runtime/VPF telemetry category or Agent/VPF-specific telemetry-privacy rule.</w:t>
            </w:r>
          </w:p>
        </w:tc>
        <w:tc>
          <w:tcPr>
            <w:tcW w:type="dxa" w:w="4200"/>
            <w:tcMar>
              <w:top w:type="dxa" w:w="60"/>
              <w:left w:type="dxa" w:w="80"/>
              <w:bottom w:type="dxa" w:w="60"/>
              <w:right w:type="dxa" w:w="80"/>
            </w:tcMar>
          </w:tcPr>
          <w:p>
            <w:r>
              <w:rPr>
                <w:b w:val="false"/>
                <w:bCs w:val="false"/>
                <w:sz w:val="18"/>
                <w:szCs w:val="18"/>
              </w:rPr>
              <w:t xml:space="preserve">Added TD-26-7 (Agent Factory/Runtime/VPF telemetry as a distinct, non-collapsed signal category) and TD-26-8 (Agent/VPF telemetry privacy — no unnecessary exposure of prompts/Evidence/secrets/restricted VPF explanations).</w:t>
            </w:r>
          </w:p>
        </w:tc>
        <w:tc>
          <w:tcPr>
            <w:tcW w:type="dxa" w:w="1700"/>
            <w:tcMar>
              <w:top w:type="dxa" w:w="60"/>
              <w:left w:type="dxa" w:w="80"/>
              <w:bottom w:type="dxa" w:w="60"/>
              <w:right w:type="dxa" w:w="80"/>
            </w:tcMar>
          </w:tcPr>
          <w:p>
            <w:r>
              <w:rPr>
                <w:b w:val="false"/>
                <w:bCs w:val="false"/>
                <w:sz w:val="18"/>
                <w:szCs w:val="18"/>
              </w:rPr>
              <w:t xml:space="preserve">NCIE-007 v1.1 Ch.27.</w:t>
            </w:r>
          </w:p>
        </w:tc>
        <w:tc>
          <w:tcPr>
            <w:tcW w:type="dxa" w:w="1700"/>
            <w:tcMar>
              <w:top w:type="dxa" w:w="60"/>
              <w:left w:type="dxa" w:w="80"/>
              <w:bottom w:type="dxa" w:w="60"/>
              <w:right w:type="dxa" w:w="80"/>
            </w:tcMar>
          </w:tcPr>
          <w:p>
            <w:r>
              <w:rPr>
                <w:b w:val="false"/>
                <w:bCs w:val="false"/>
                <w:sz w:val="18"/>
                <w:szCs w:val="18"/>
              </w:rPr>
              <w:t xml:space="preserve">Directive §58-64 required independent Agent/VPF observability without collapsing into one generic AI-health metric.</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AM-10</w:t>
            </w:r>
          </w:p>
        </w:tc>
        <w:tc>
          <w:tcPr>
            <w:tcW w:type="dxa" w:w="1500"/>
            <w:tcMar>
              <w:top w:type="dxa" w:w="60"/>
              <w:left w:type="dxa" w:w="80"/>
              <w:bottom w:type="dxa" w:w="60"/>
              <w:right w:type="dxa" w:w="80"/>
            </w:tcMar>
          </w:tcPr>
          <w:p>
            <w:r>
              <w:rPr>
                <w:b w:val="false"/>
                <w:bCs w:val="false"/>
                <w:sz w:val="18"/>
                <w:szCs w:val="18"/>
              </w:rPr>
              <w:t xml:space="preserve">Ch.27, 1 new TD row (TD-27-6), new §27.2</w:t>
            </w:r>
          </w:p>
        </w:tc>
        <w:tc>
          <w:tcPr>
            <w:tcW w:type="dxa" w:w="2500"/>
            <w:tcMar>
              <w:top w:type="dxa" w:w="60"/>
              <w:left w:type="dxa" w:w="80"/>
              <w:bottom w:type="dxa" w:w="60"/>
              <w:right w:type="dxa" w:w="80"/>
            </w:tcMar>
          </w:tcPr>
          <w:p>
            <w:r>
              <w:rPr>
                <w:b w:val="false"/>
                <w:bCs w:val="false"/>
                <w:sz w:val="18"/>
                <w:szCs w:val="18"/>
              </w:rPr>
              <w:t xml:space="preserve">Audit/SIEM integration covered existing NCIE-003 audit events; no Agent/VPF lifecycle event integration (synthesis, Gate A, activation, Run, Promotion, Registry mutation, suspension) into the authoritative audit architecture.</w:t>
            </w:r>
          </w:p>
        </w:tc>
        <w:tc>
          <w:tcPr>
            <w:tcW w:type="dxa" w:w="4200"/>
            <w:tcMar>
              <w:top w:type="dxa" w:w="60"/>
              <w:left w:type="dxa" w:w="80"/>
              <w:bottom w:type="dxa" w:w="60"/>
              <w:right w:type="dxa" w:w="80"/>
            </w:tcMar>
          </w:tcPr>
          <w:p>
            <w:r>
              <w:rPr>
                <w:b w:val="false"/>
                <w:bCs w:val="false"/>
                <w:sz w:val="18"/>
                <w:szCs w:val="18"/>
              </w:rPr>
              <w:t xml:space="preserve">Added TD-27-6 (Agent/VPF audit event integration via the existing security-event pipeline, not a separate Agent-only event store). Added §27.2 Agent/VPF Security Event Boundary (SECURITY EVENT ≠ REGULATORY/INSTITUTIONAL FINDING).</w:t>
            </w:r>
          </w:p>
        </w:tc>
        <w:tc>
          <w:tcPr>
            <w:tcW w:type="dxa" w:w="1700"/>
            <w:tcMar>
              <w:top w:type="dxa" w:w="60"/>
              <w:left w:type="dxa" w:w="80"/>
              <w:bottom w:type="dxa" w:w="60"/>
              <w:right w:type="dxa" w:w="80"/>
            </w:tcMar>
          </w:tcPr>
          <w:p>
            <w:r>
              <w:rPr>
                <w:b w:val="false"/>
                <w:bCs w:val="false"/>
                <w:sz w:val="18"/>
                <w:szCs w:val="18"/>
              </w:rPr>
              <w:t xml:space="preserve">NCIE-003 v0.4 Ch.27; NCIE-007 v1.1 Ch.27.</w:t>
            </w:r>
          </w:p>
        </w:tc>
        <w:tc>
          <w:tcPr>
            <w:tcW w:type="dxa" w:w="1700"/>
            <w:tcMar>
              <w:top w:type="dxa" w:w="60"/>
              <w:left w:type="dxa" w:w="80"/>
              <w:bottom w:type="dxa" w:w="60"/>
              <w:right w:type="dxa" w:w="80"/>
            </w:tcMar>
          </w:tcPr>
          <w:p>
            <w:r>
              <w:rPr>
                <w:b w:val="false"/>
                <w:bCs w:val="false"/>
                <w:sz w:val="18"/>
                <w:szCs w:val="18"/>
              </w:rPr>
              <w:t xml:space="preserve">Directive §65-69 required material Agent/VPF events to reach the existing audit architecture by extension, not duplication.</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AM-11</w:t>
            </w:r>
          </w:p>
        </w:tc>
        <w:tc>
          <w:tcPr>
            <w:tcW w:type="dxa" w:w="1500"/>
            <w:tcMar>
              <w:top w:type="dxa" w:w="60"/>
              <w:left w:type="dxa" w:w="80"/>
              <w:bottom w:type="dxa" w:w="60"/>
              <w:right w:type="dxa" w:w="80"/>
            </w:tcMar>
          </w:tcPr>
          <w:p>
            <w:r>
              <w:rPr>
                <w:b w:val="false"/>
                <w:bCs w:val="false"/>
                <w:sz w:val="18"/>
                <w:szCs w:val="18"/>
              </w:rPr>
              <w:t xml:space="preserve">Ch.28, 2 new TD rows (TD-28-8..9)</w:t>
            </w:r>
          </w:p>
        </w:tc>
        <w:tc>
          <w:tcPr>
            <w:tcW w:type="dxa" w:w="2500"/>
            <w:tcMar>
              <w:top w:type="dxa" w:w="60"/>
              <w:left w:type="dxa" w:w="80"/>
              <w:bottom w:type="dxa" w:w="60"/>
              <w:right w:type="dxa" w:w="80"/>
            </w:tcMar>
          </w:tcPr>
          <w:p>
            <w:r>
              <w:rPr>
                <w:b w:val="false"/>
                <w:bCs w:val="false"/>
                <w:sz w:val="18"/>
                <w:szCs w:val="18"/>
              </w:rPr>
              <w:t xml:space="preserve">CI/CD governance covered application code/infrastructure; no Agent Pattern/VPF Profile/Runtime Policy configuration-lifecycle or rollback rule.</w:t>
            </w:r>
          </w:p>
        </w:tc>
        <w:tc>
          <w:tcPr>
            <w:tcW w:type="dxa" w:w="4200"/>
            <w:tcMar>
              <w:top w:type="dxa" w:w="60"/>
              <w:left w:type="dxa" w:w="80"/>
              <w:bottom w:type="dxa" w:w="60"/>
              <w:right w:type="dxa" w:w="80"/>
            </w:tcMar>
          </w:tcPr>
          <w:p>
            <w:r>
              <w:rPr>
                <w:b w:val="false"/>
                <w:bCs w:val="false"/>
                <w:sz w:val="18"/>
                <w:szCs w:val="18"/>
              </w:rPr>
              <w:t xml:space="preserve">Added TD-28-8 (Agent/VPF configuration lifecycle — DEPLOYED CONFIGURATION ≠ GOVERNANCE APPROVAL; environment separation applies identically) and TD-28-9 (Agent/VPF rollback — SOFTWARE ROLLBACK ≠ GOVERNANCE HISTORY ROLLBACK).</w:t>
            </w:r>
          </w:p>
        </w:tc>
        <w:tc>
          <w:tcPr>
            <w:tcW w:type="dxa" w:w="1700"/>
            <w:tcMar>
              <w:top w:type="dxa" w:w="60"/>
              <w:left w:type="dxa" w:w="80"/>
              <w:bottom w:type="dxa" w:w="60"/>
              <w:right w:type="dxa" w:w="80"/>
            </w:tcMar>
          </w:tcPr>
          <w:p>
            <w:r>
              <w:rPr>
                <w:b w:val="false"/>
                <w:bCs w:val="false"/>
                <w:sz w:val="18"/>
                <w:szCs w:val="18"/>
              </w:rPr>
              <w:t xml:space="preserve">NCIE-007 v1.1 Ch.12.</w:t>
            </w:r>
          </w:p>
        </w:tc>
        <w:tc>
          <w:tcPr>
            <w:tcW w:type="dxa" w:w="1700"/>
            <w:tcMar>
              <w:top w:type="dxa" w:w="60"/>
              <w:left w:type="dxa" w:w="80"/>
              <w:bottom w:type="dxa" w:w="60"/>
              <w:right w:type="dxa" w:w="80"/>
            </w:tcMar>
          </w:tcPr>
          <w:p>
            <w:r>
              <w:rPr>
                <w:b w:val="false"/>
                <w:bCs w:val="false"/>
                <w:sz w:val="18"/>
                <w:szCs w:val="18"/>
              </w:rPr>
              <w:t xml:space="preserve">Directive §70-75 required configuration lifecycle, environment separation, controlled promotion and rollback for the new artifact classes.</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AM-12</w:t>
            </w:r>
          </w:p>
        </w:tc>
        <w:tc>
          <w:tcPr>
            <w:tcW w:type="dxa" w:w="1500"/>
            <w:tcMar>
              <w:top w:type="dxa" w:w="60"/>
              <w:left w:type="dxa" w:w="80"/>
              <w:bottom w:type="dxa" w:w="60"/>
              <w:right w:type="dxa" w:w="80"/>
            </w:tcMar>
          </w:tcPr>
          <w:p>
            <w:r>
              <w:rPr>
                <w:b w:val="false"/>
                <w:bCs w:val="false"/>
                <w:sz w:val="18"/>
                <w:szCs w:val="18"/>
              </w:rPr>
              <w:t xml:space="preserve">Ch.29, 3 new TD rows (TD-29-9..11)</w:t>
            </w:r>
          </w:p>
        </w:tc>
        <w:tc>
          <w:tcPr>
            <w:tcW w:type="dxa" w:w="2500"/>
            <w:tcMar>
              <w:top w:type="dxa" w:w="60"/>
              <w:left w:type="dxa" w:w="80"/>
              <w:bottom w:type="dxa" w:w="60"/>
              <w:right w:type="dxa" w:w="80"/>
            </w:tcMar>
          </w:tcPr>
          <w:p>
            <w:r>
              <w:rPr>
                <w:b w:val="false"/>
                <w:bCs w:val="false"/>
                <w:sz w:val="18"/>
                <w:szCs w:val="18"/>
              </w:rPr>
              <w:t xml:space="preserve">Test automation stack covered functional/data/AI-evaluation testing; no Dynamic Agent end-to-end, adversarial or fail-closed/reconciliation test category.</w:t>
            </w:r>
          </w:p>
        </w:tc>
        <w:tc>
          <w:tcPr>
            <w:tcW w:type="dxa" w:w="4200"/>
            <w:tcMar>
              <w:top w:type="dxa" w:w="60"/>
              <w:left w:type="dxa" w:w="80"/>
              <w:bottom w:type="dxa" w:w="60"/>
              <w:right w:type="dxa" w:w="80"/>
            </w:tcMar>
          </w:tcPr>
          <w:p>
            <w:r>
              <w:rPr>
                <w:b w:val="false"/>
                <w:bCs w:val="false"/>
                <w:sz w:val="18"/>
                <w:szCs w:val="18"/>
              </w:rPr>
              <w:t xml:space="preserve">Added TD-29-9 (Dynamic Agent acceptance scenario — full synthesis-to-expiry E2E test), TD-29-10 (Adversarial Agent/VPF testing, including the mandatory Human-Primary adversarial scenario), TD-29-11 (Fail-closed and reconciliation tests).</w:t>
            </w:r>
          </w:p>
        </w:tc>
        <w:tc>
          <w:tcPr>
            <w:tcW w:type="dxa" w:w="1700"/>
            <w:tcMar>
              <w:top w:type="dxa" w:w="60"/>
              <w:left w:type="dxa" w:w="80"/>
              <w:bottom w:type="dxa" w:w="60"/>
              <w:right w:type="dxa" w:w="80"/>
            </w:tcMar>
          </w:tcPr>
          <w:p>
            <w:r>
              <w:rPr>
                <w:b w:val="false"/>
                <w:bCs w:val="false"/>
                <w:sz w:val="18"/>
                <w:szCs w:val="18"/>
              </w:rPr>
              <w:t xml:space="preserve">NCIE-007 v1.1 Ch.32.</w:t>
            </w:r>
          </w:p>
        </w:tc>
        <w:tc>
          <w:tcPr>
            <w:tcW w:type="dxa" w:w="1700"/>
            <w:tcMar>
              <w:top w:type="dxa" w:w="60"/>
              <w:left w:type="dxa" w:w="80"/>
              <w:bottom w:type="dxa" w:w="60"/>
              <w:right w:type="dxa" w:w="80"/>
            </w:tcMar>
          </w:tcPr>
          <w:p>
            <w:r>
              <w:rPr>
                <w:b w:val="false"/>
                <w:bCs w:val="false"/>
                <w:sz w:val="18"/>
                <w:szCs w:val="18"/>
              </w:rPr>
              <w:t xml:space="preserve">Directive §76-89 required positive, negative, adversarial and fail-closed Agent/VPF test coverage.</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AM-13</w:t>
            </w:r>
          </w:p>
        </w:tc>
        <w:tc>
          <w:tcPr>
            <w:tcW w:type="dxa" w:w="1500"/>
            <w:tcMar>
              <w:top w:type="dxa" w:w="60"/>
              <w:left w:type="dxa" w:w="80"/>
              <w:bottom w:type="dxa" w:w="60"/>
              <w:right w:type="dxa" w:w="80"/>
            </w:tcMar>
          </w:tcPr>
          <w:p>
            <w:r>
              <w:rPr>
                <w:b w:val="false"/>
                <w:bCs w:val="false"/>
                <w:sz w:val="18"/>
                <w:szCs w:val="18"/>
              </w:rPr>
              <w:t xml:space="preserve">Ch.30, 2 new TD rows (TD-30-7..8)</w:t>
            </w:r>
          </w:p>
        </w:tc>
        <w:tc>
          <w:tcPr>
            <w:tcW w:type="dxa" w:w="2500"/>
            <w:tcMar>
              <w:top w:type="dxa" w:w="60"/>
              <w:left w:type="dxa" w:w="80"/>
              <w:bottom w:type="dxa" w:w="60"/>
              <w:right w:type="dxa" w:w="80"/>
            </w:tcMar>
          </w:tcPr>
          <w:p>
            <w:r>
              <w:rPr>
                <w:b w:val="false"/>
                <w:bCs w:val="false"/>
                <w:sz w:val="18"/>
                <w:szCs w:val="18"/>
              </w:rPr>
              <w:t xml:space="preserve">Resilience/DR stack covered existing data/service tiers; no Agent Factory/Registry/Ephemeral Runtime/VPF Runtime resilience coverage or explicit RECOVERY ≠ REAUTHORIZATION rule.</w:t>
            </w:r>
          </w:p>
        </w:tc>
        <w:tc>
          <w:tcPr>
            <w:tcW w:type="dxa" w:w="4200"/>
            <w:tcMar>
              <w:top w:type="dxa" w:w="60"/>
              <w:left w:type="dxa" w:w="80"/>
              <w:bottom w:type="dxa" w:w="60"/>
              <w:right w:type="dxa" w:w="80"/>
            </w:tcMar>
          </w:tcPr>
          <w:p>
            <w:r>
              <w:rPr>
                <w:b w:val="false"/>
                <w:bCs w:val="false"/>
                <w:sz w:val="18"/>
                <w:szCs w:val="18"/>
              </w:rPr>
              <w:t xml:space="preserve">Added TD-30-7 (Agent/VPF/Registry resilience, reusing existing backup/HA patterns) and TD-30-8 (Recovery ≠ reauthorization — post-restore reconciliation of authorization/eligibility before dependent execution resumes).</w:t>
            </w:r>
          </w:p>
        </w:tc>
        <w:tc>
          <w:tcPr>
            <w:tcW w:type="dxa" w:w="1700"/>
            <w:tcMar>
              <w:top w:type="dxa" w:w="60"/>
              <w:left w:type="dxa" w:w="80"/>
              <w:bottom w:type="dxa" w:w="60"/>
              <w:right w:type="dxa" w:w="80"/>
            </w:tcMar>
          </w:tcPr>
          <w:p>
            <w:r>
              <w:rPr>
                <w:b w:val="false"/>
                <w:bCs w:val="false"/>
                <w:sz w:val="18"/>
                <w:szCs w:val="18"/>
              </w:rPr>
              <w:t xml:space="preserve">NCIE-007 v1.1 Ch.12, Ch.26.</w:t>
            </w:r>
          </w:p>
        </w:tc>
        <w:tc>
          <w:tcPr>
            <w:tcW w:type="dxa" w:w="1700"/>
            <w:tcMar>
              <w:top w:type="dxa" w:w="60"/>
              <w:left w:type="dxa" w:w="80"/>
              <w:bottom w:type="dxa" w:w="60"/>
              <w:right w:type="dxa" w:w="80"/>
            </w:tcMar>
          </w:tcPr>
          <w:p>
            <w:r>
              <w:rPr>
                <w:b w:val="false"/>
                <w:bCs w:val="false"/>
                <w:sz w:val="18"/>
                <w:szCs w:val="18"/>
              </w:rPr>
              <w:t xml:space="preserve">Directive §90-97 required resilience/DR extension and the mandatory non-reauthorization invariant.</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AM-14</w:t>
            </w:r>
          </w:p>
        </w:tc>
        <w:tc>
          <w:tcPr>
            <w:tcW w:type="dxa" w:w="1500"/>
            <w:tcMar>
              <w:top w:type="dxa" w:w="60"/>
              <w:left w:type="dxa" w:w="80"/>
              <w:bottom w:type="dxa" w:w="60"/>
              <w:right w:type="dxa" w:w="80"/>
            </w:tcMar>
          </w:tcPr>
          <w:p>
            <w:r>
              <w:rPr>
                <w:b w:val="false"/>
                <w:bCs w:val="false"/>
                <w:sz w:val="18"/>
                <w:szCs w:val="18"/>
              </w:rPr>
              <w:t xml:space="preserve">Ch.33, 1 new Technology Registry row (Open Policy Agent), new §33.4</w:t>
            </w:r>
          </w:p>
        </w:tc>
        <w:tc>
          <w:tcPr>
            <w:tcW w:type="dxa" w:w="2500"/>
            <w:tcMar>
              <w:top w:type="dxa" w:w="60"/>
              <w:left w:type="dxa" w:w="80"/>
              <w:bottom w:type="dxa" w:w="60"/>
              <w:right w:type="dxa" w:w="80"/>
            </w:tcMar>
          </w:tcPr>
          <w:p>
            <w:r>
              <w:rPr>
                <w:b w:val="false"/>
                <w:bCs w:val="false"/>
                <w:sz w:val="18"/>
                <w:szCs w:val="18"/>
              </w:rPr>
              <w:t xml:space="preserve">16 seeded Technology Registry candidates; OPA was named only inside a Ch.23 table cell, not tracked as its own Registry candidate despite now being reused cross-cutting for VPF deterministic validation.</w:t>
            </w:r>
          </w:p>
        </w:tc>
        <w:tc>
          <w:tcPr>
            <w:tcW w:type="dxa" w:w="4200"/>
            <w:tcMar>
              <w:top w:type="dxa" w:w="60"/>
              <w:left w:type="dxa" w:w="80"/>
              <w:bottom w:type="dxa" w:w="60"/>
              <w:right w:type="dxa" w:w="80"/>
            </w:tcMar>
          </w:tcPr>
          <w:p>
            <w:r>
              <w:rPr>
                <w:b w:val="false"/>
                <w:bCs w:val="false"/>
                <w:sz w:val="18"/>
                <w:szCs w:val="18"/>
              </w:rPr>
              <w:t xml:space="preserve">Added Open Policy Agent as the 17th Registry candidate (Security/Governance category). Added §33.4 recording that Agent Factory/Ephemeral Runtime/VPF Runtime/Registries are satisfied by the existing approved-candidate stack (PostgreSQL, backend runtime, Vault, Model/Tool Gateway) — LOGICAL CAPABILITY ≠ SEPARATE TECHNOLOGY PRODUCT — with OPA the one genuinely new candidate.</w:t>
            </w:r>
          </w:p>
        </w:tc>
        <w:tc>
          <w:tcPr>
            <w:tcW w:type="dxa" w:w="1700"/>
            <w:tcMar>
              <w:top w:type="dxa" w:w="60"/>
              <w:left w:type="dxa" w:w="80"/>
              <w:bottom w:type="dxa" w:w="60"/>
              <w:right w:type="dxa" w:w="80"/>
            </w:tcMar>
          </w:tcPr>
          <w:p>
            <w:r>
              <w:rPr>
                <w:b w:val="false"/>
                <w:bCs w:val="false"/>
                <w:sz w:val="18"/>
                <w:szCs w:val="18"/>
              </w:rPr>
              <w:t xml:space="preserve">NCIE-007 v1.1 Ch.12 (Registry review); Ch.33 §33.1's existing mandate/implementation-separation principle.</w:t>
            </w:r>
          </w:p>
        </w:tc>
        <w:tc>
          <w:tcPr>
            <w:tcW w:type="dxa" w:w="1700"/>
            <w:tcMar>
              <w:top w:type="dxa" w:w="60"/>
              <w:left w:type="dxa" w:w="80"/>
              <w:bottom w:type="dxa" w:w="60"/>
              <w:right w:type="dxa" w:w="80"/>
            </w:tcMar>
          </w:tcPr>
          <w:p>
            <w:r>
              <w:rPr>
                <w:b w:val="false"/>
                <w:bCs w:val="false"/>
                <w:sz w:val="18"/>
                <w:szCs w:val="18"/>
              </w:rPr>
              <w:t xml:space="preserve">Directive §98-110 (repair block) explicitly required reuse-first review before adding any Registry candidate.</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AM-15</w:t>
            </w:r>
          </w:p>
        </w:tc>
        <w:tc>
          <w:tcPr>
            <w:tcW w:type="dxa" w:w="1500"/>
            <w:tcMar>
              <w:top w:type="dxa" w:w="60"/>
              <w:left w:type="dxa" w:w="80"/>
              <w:bottom w:type="dxa" w:w="60"/>
              <w:right w:type="dxa" w:w="80"/>
            </w:tcMar>
          </w:tcPr>
          <w:p>
            <w:r>
              <w:rPr>
                <w:b w:val="false"/>
                <w:bCs w:val="false"/>
                <w:sz w:val="18"/>
                <w:szCs w:val="18"/>
              </w:rPr>
              <w:t xml:space="preserve">Ch.34, 5 new topology relationship rows, new §34.4</w:t>
            </w:r>
          </w:p>
        </w:tc>
        <w:tc>
          <w:tcPr>
            <w:tcW w:type="dxa" w:w="2500"/>
            <w:tcMar>
              <w:top w:type="dxa" w:w="60"/>
              <w:left w:type="dxa" w:w="80"/>
              <w:bottom w:type="dxa" w:w="60"/>
              <w:right w:type="dxa" w:w="80"/>
            </w:tcMar>
          </w:tcPr>
          <w:p>
            <w:r>
              <w:rPr>
                <w:b w:val="false"/>
                <w:bCs w:val="false"/>
                <w:sz w:val="18"/>
                <w:szCs w:val="18"/>
              </w:rPr>
              <w:t xml:space="preserve">Logical deployment topology (Figure 7) showed Edge/Application/Data/AI/Integration/Security/Management zones without an Agent Factory/Execution Plane/VPF-specific relationship path.</w:t>
            </w:r>
          </w:p>
        </w:tc>
        <w:tc>
          <w:tcPr>
            <w:tcW w:type="dxa" w:w="4200"/>
            <w:tcMar>
              <w:top w:type="dxa" w:w="60"/>
              <w:left w:type="dxa" w:w="80"/>
              <w:bottom w:type="dxa" w:w="60"/>
              <w:right w:type="dxa" w:w="80"/>
            </w:tcMar>
          </w:tcPr>
          <w:p>
            <w:r>
              <w:rPr>
                <w:b w:val="false"/>
                <w:bCs w:val="false"/>
                <w:sz w:val="18"/>
                <w:szCs w:val="18"/>
              </w:rPr>
              <w:t xml:space="preserve">Added 5 relationship rows to Figure 7 (Application→Agent Factory; Agent Factory→Ephemeral Execution Plane; Execution Plane→Model/Tool Gateway only; Execution Plane has no Registry admin-write access; Agent Result→VPF Gate B). Added §34.4 Agent Factory &amp; VPF Deployment Boundary confirming no prohibited path (self-registration, recursive synthesis, VPF-as-approval, etc.) appears in any diagram.</w:t>
            </w:r>
          </w:p>
        </w:tc>
        <w:tc>
          <w:tcPr>
            <w:tcW w:type="dxa" w:w="1700"/>
            <w:tcMar>
              <w:top w:type="dxa" w:w="60"/>
              <w:left w:type="dxa" w:w="80"/>
              <w:bottom w:type="dxa" w:w="60"/>
              <w:right w:type="dxa" w:w="80"/>
            </w:tcMar>
          </w:tcPr>
          <w:p>
            <w:r>
              <w:rPr>
                <w:b w:val="false"/>
                <w:bCs w:val="false"/>
                <w:sz w:val="18"/>
                <w:szCs w:val="18"/>
              </w:rPr>
              <w:t xml:space="preserve">NCIE-007 v1.1 Ch.11-12, Ch.26.</w:t>
            </w:r>
          </w:p>
        </w:tc>
        <w:tc>
          <w:tcPr>
            <w:tcW w:type="dxa" w:w="1700"/>
            <w:tcMar>
              <w:top w:type="dxa" w:w="60"/>
              <w:left w:type="dxa" w:w="80"/>
              <w:bottom w:type="dxa" w:w="60"/>
              <w:right w:type="dxa" w:w="80"/>
            </w:tcMar>
          </w:tcPr>
          <w:p>
            <w:r>
              <w:rPr>
                <w:b w:val="false"/>
                <w:bCs w:val="false"/>
                <w:sz w:val="18"/>
                <w:szCs w:val="18"/>
              </w:rPr>
              <w:t xml:space="preserve">Directive §111-128 (repair block) required the deployment topology to represent the new logical boundaries and pass the prohibited-path diagram audit.</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AM-16</w:t>
            </w:r>
          </w:p>
        </w:tc>
        <w:tc>
          <w:tcPr>
            <w:tcW w:type="dxa" w:w="1500"/>
            <w:tcMar>
              <w:top w:type="dxa" w:w="60"/>
              <w:left w:type="dxa" w:w="80"/>
              <w:bottom w:type="dxa" w:w="60"/>
              <w:right w:type="dxa" w:w="80"/>
            </w:tcMar>
          </w:tcPr>
          <w:p>
            <w:r>
              <w:rPr>
                <w:b w:val="false"/>
                <w:bCs w:val="false"/>
                <w:sz w:val="18"/>
                <w:szCs w:val="18"/>
              </w:rPr>
              <w:t xml:space="preserve">Ch.35 (mechanical reconciliation)</w:t>
            </w:r>
          </w:p>
        </w:tc>
        <w:tc>
          <w:tcPr>
            <w:tcW w:type="dxa" w:w="2500"/>
            <w:tcMar>
              <w:top w:type="dxa" w:w="60"/>
              <w:left w:type="dxa" w:w="80"/>
              <w:bottom w:type="dxa" w:w="60"/>
              <w:right w:type="dxa" w:w="80"/>
            </w:tcMar>
          </w:tcPr>
          <w:p>
            <w:r>
              <w:rPr>
                <w:b w:val="false"/>
                <w:bCs w:val="false"/>
                <w:sz w:val="18"/>
                <w:szCs w:val="18"/>
              </w:rPr>
              <w:t xml:space="preserve">Technology Decision Matrix totaled 165 decisions (33 mandate / 115 proposed / 6 institutional / 5 infrastructure / 6 security; 17 blocking / 115 non-blocking).</w:t>
            </w:r>
          </w:p>
        </w:tc>
        <w:tc>
          <w:tcPr>
            <w:tcW w:type="dxa" w:w="4200"/>
            <w:tcMar>
              <w:top w:type="dxa" w:w="60"/>
              <w:left w:type="dxa" w:w="80"/>
              <w:bottom w:type="dxa" w:w="60"/>
              <w:right w:type="dxa" w:w="80"/>
            </w:tcMar>
          </w:tcPr>
          <w:p>
            <w:r>
              <w:rPr>
                <w:b w:val="false"/>
                <w:bCs w:val="false"/>
                <w:sz w:val="18"/>
                <w:szCs w:val="18"/>
              </w:rPr>
              <w:t xml:space="preserve">Mechanically re-extracted after all substantive amendments: 196 total (40 mandate / 136 proposed / 6 institutional / 7 infrastructure / 6 security / 1 superseded — TD-20-3; 19 blocking / 137 non-blocking). 31 new decisions added across Ch.4/18-20/23-30, inserted in correct chapter order (not appended out of sequence); 0 removed; TD-20-3 reclassified from Proposed Design Default to Superseded. Table 33 summary, Table 34 matrix and Table 35 Human Review Register all recomputed programmatically from final cell content, not hand-counted. Added §35.6 Reconciliation Note recording the delta arithmetic.</w:t>
            </w:r>
          </w:p>
        </w:tc>
        <w:tc>
          <w:tcPr>
            <w:tcW w:type="dxa" w:w="1700"/>
            <w:tcMar>
              <w:top w:type="dxa" w:w="60"/>
              <w:left w:type="dxa" w:w="80"/>
              <w:bottom w:type="dxa" w:w="60"/>
              <w:right w:type="dxa" w:w="80"/>
            </w:tcMar>
          </w:tcPr>
          <w:p>
            <w:r>
              <w:rPr>
                <w:b w:val="false"/>
                <w:bCs w:val="false"/>
                <w:sz w:val="18"/>
                <w:szCs w:val="18"/>
              </w:rPr>
              <w:t xml:space="preserve">Administrative — directive §129-142 (repair block) and §392 (final Technology Decision count audit) mandatory reconciliation gate.</w:t>
            </w:r>
          </w:p>
        </w:tc>
        <w:tc>
          <w:tcPr>
            <w:tcW w:type="dxa" w:w="1700"/>
            <w:tcMar>
              <w:top w:type="dxa" w:w="60"/>
              <w:left w:type="dxa" w:w="80"/>
              <w:bottom w:type="dxa" w:w="60"/>
              <w:right w:type="dxa" w:w="80"/>
            </w:tcMar>
          </w:tcPr>
          <w:p>
            <w:r>
              <w:rPr>
                <w:b w:val="false"/>
                <w:bCs w:val="false"/>
                <w:sz w:val="18"/>
                <w:szCs w:val="18"/>
              </w:rPr>
              <w:t xml:space="preserve">Chapter 35 must be mechanically re-extracted after every substantive amendment; stale v1.1 totals may never carry forward.</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AM-17</w:t>
            </w:r>
          </w:p>
        </w:tc>
        <w:tc>
          <w:tcPr>
            <w:tcW w:type="dxa" w:w="1500"/>
            <w:tcMar>
              <w:top w:type="dxa" w:w="60"/>
              <w:left w:type="dxa" w:w="80"/>
              <w:bottom w:type="dxa" w:w="60"/>
              <w:right w:type="dxa" w:w="80"/>
            </w:tcMar>
          </w:tcPr>
          <w:p>
            <w:r>
              <w:rPr>
                <w:b w:val="false"/>
                <w:bCs w:val="false"/>
                <w:sz w:val="18"/>
                <w:szCs w:val="18"/>
              </w:rPr>
              <w:t xml:space="preserve">Ch.36, new §36.2A and §36.5, 15 traceability-matrix rows updated</w:t>
            </w:r>
          </w:p>
        </w:tc>
        <w:tc>
          <w:tcPr>
            <w:tcW w:type="dxa" w:w="2500"/>
            <w:tcMar>
              <w:top w:type="dxa" w:w="60"/>
              <w:left w:type="dxa" w:w="80"/>
              <w:bottom w:type="dxa" w:w="60"/>
              <w:right w:type="dxa" w:w="80"/>
            </w:tcMar>
          </w:tcPr>
          <w:p>
            <w:r>
              <w:rPr>
                <w:b w:val="false"/>
                <w:bCs w:val="false"/>
                <w:sz w:val="18"/>
                <w:szCs w:val="18"/>
              </w:rPr>
              <w:t xml:space="preserve">Acceptance checklist and traceability matrix made no reference to Agent Factory/VPF non-bypass properties, TD-20-3/20-4 disposition, generated-code status, or Agent/VPF engineering readiness.</w:t>
            </w:r>
          </w:p>
        </w:tc>
        <w:tc>
          <w:tcPr>
            <w:tcW w:type="dxa" w:w="4200"/>
            <w:tcMar>
              <w:top w:type="dxa" w:w="60"/>
              <w:left w:type="dxa" w:w="80"/>
              <w:bottom w:type="dxa" w:w="60"/>
              <w:right w:type="dxa" w:w="80"/>
            </w:tcMar>
          </w:tcPr>
          <w:p>
            <w:r>
              <w:rPr>
                <w:b w:val="false"/>
                <w:bCs w:val="false"/>
                <w:sz w:val="18"/>
                <w:szCs w:val="18"/>
              </w:rPr>
              <w:t xml:space="preserve">Added §36.2A Dynamic Agent &amp; VPF Acceptance (confirms no diagram/table implies Agent=Human Authority, self-registration, recursive synthesis, VPF=Decision, etc.; confirms TD-20-3 preserved as Superseded and TD-20-4 Clarified, not deleted/broadened). Added §36.5 Readiness Disposition (Engineering-Specified status per component; Generated-Code Status = NOT APPROVED; downstream handover to NCIE-005/006/009/014/016 named explicitly). Updated 15 traceability-matrix rows (Ch.4,18-20,23-30,33-35) with their NCIE-007 v1.1 dependency.</w:t>
            </w:r>
          </w:p>
        </w:tc>
        <w:tc>
          <w:tcPr>
            <w:tcW w:type="dxa" w:w="1700"/>
            <w:tcMar>
              <w:top w:type="dxa" w:w="60"/>
              <w:left w:type="dxa" w:w="80"/>
              <w:bottom w:type="dxa" w:w="60"/>
              <w:right w:type="dxa" w:w="80"/>
            </w:tcMar>
          </w:tcPr>
          <w:p>
            <w:r>
              <w:rPr>
                <w:b w:val="false"/>
                <w:bCs w:val="false"/>
                <w:sz w:val="18"/>
                <w:szCs w:val="18"/>
              </w:rPr>
              <w:t xml:space="preserve">Approved NCIE-001 v1.3 / NCIE-002 v0.5 / NCIE-003 v0.4 / NCIE-007 v1.1 (closes the amendment authority chain).</w:t>
            </w:r>
          </w:p>
        </w:tc>
        <w:tc>
          <w:tcPr>
            <w:tcW w:type="dxa" w:w="1700"/>
            <w:tcMar>
              <w:top w:type="dxa" w:w="60"/>
              <w:left w:type="dxa" w:w="80"/>
              <w:bottom w:type="dxa" w:w="60"/>
              <w:right w:type="dxa" w:w="80"/>
            </w:tcMar>
          </w:tcPr>
          <w:p>
            <w:r>
              <w:rPr>
                <w:b w:val="false"/>
                <w:bCs w:val="false"/>
                <w:sz w:val="18"/>
                <w:szCs w:val="18"/>
              </w:rPr>
              <w:t xml:space="preserve">Directive §143-159 required acceptance/traceability/handover extension without claiming implementation activation.</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AM-DOC</w:t>
            </w:r>
          </w:p>
        </w:tc>
        <w:tc>
          <w:tcPr>
            <w:tcW w:type="dxa" w:w="1500"/>
            <w:tcMar>
              <w:top w:type="dxa" w:w="60"/>
              <w:left w:type="dxa" w:w="80"/>
              <w:bottom w:type="dxa" w:w="60"/>
              <w:right w:type="dxa" w:w="80"/>
            </w:tcMar>
          </w:tcPr>
          <w:p>
            <w:r>
              <w:rPr>
                <w:b w:val="false"/>
                <w:bCs w:val="false"/>
                <w:sz w:val="18"/>
                <w:szCs w:val="18"/>
              </w:rPr>
              <w:t xml:space="preserve">Cover / Document Governance / Running Header</w:t>
            </w:r>
          </w:p>
        </w:tc>
        <w:tc>
          <w:tcPr>
            <w:tcW w:type="dxa" w:w="2500"/>
            <w:tcMar>
              <w:top w:type="dxa" w:w="60"/>
              <w:left w:type="dxa" w:w="80"/>
              <w:bottom w:type="dxa" w:w="60"/>
              <w:right w:type="dxa" w:w="80"/>
            </w:tcMar>
          </w:tcPr>
          <w:p>
            <w:r>
              <w:rPr>
                <w:b w:val="false"/>
                <w:bCs w:val="false"/>
                <w:sz w:val="18"/>
                <w:szCs w:val="18"/>
              </w:rPr>
              <w:t xml:space="preserve">Cover tagline cited NCIE-001/002/003 at their pre-amendment versions with no NCIE-007 authority. Document Governance table's Edition field read "In development — Version 1.0" — a pre-existing v1.1 defect (the cover already said "Version 1.1"; Requirements/Architecture/Canonical-data authority rows still cited v1.2/v0.4/v0.3. The running header (word/header1.xml, a separate document part untouched by any body-text edit) read "VERSION 1.1" on every one of 82 pages after all substantive amendments were applied.</w:t>
            </w:r>
          </w:p>
        </w:tc>
        <w:tc>
          <w:tcPr>
            <w:tcW w:type="dxa" w:w="4200"/>
            <w:tcMar>
              <w:top w:type="dxa" w:w="60"/>
              <w:left w:type="dxa" w:w="80"/>
              <w:bottom w:type="dxa" w:w="60"/>
              <w:right w:type="dxa" w:w="80"/>
            </w:tcMar>
          </w:tcPr>
          <w:p>
            <w:r>
              <w:rPr>
                <w:b w:val="false"/>
                <w:bCs w:val="false"/>
                <w:sz w:val="18"/>
                <w:szCs w:val="18"/>
              </w:rPr>
              <w:t xml:space="preserve">Cover corrected to cite approved NCIE-001 v1.3 / NCIE-002 v0.5 / NCIE-003 v0.4 / NCIE-007 v1.1. Governance table's Edition corrected to "Version 1.2"; Requirements/Architecture/Canonical-data authority rows corrected to v1.3/v0.5/v0.4 respectively; new Orchestration authority (NCIE-007 v1.1) and Prior baseline (v1.1) rows inserted. New §0.7 Document Amendment History added, preserving the v1.1 entry. Running header corrected to "VERSION 1.2" and verified across all 82 rendered pages — this defect was caught by this amendment's own mandatory page-level scan before delivery, not after.</w:t>
            </w:r>
          </w:p>
        </w:tc>
        <w:tc>
          <w:tcPr>
            <w:tcW w:type="dxa" w:w="1700"/>
            <w:tcMar>
              <w:top w:type="dxa" w:w="60"/>
              <w:left w:type="dxa" w:w="80"/>
              <w:bottom w:type="dxa" w:w="60"/>
              <w:right w:type="dxa" w:w="80"/>
            </w:tcMar>
          </w:tcPr>
          <w:p>
            <w:r>
              <w:rPr>
                <w:b w:val="false"/>
                <w:bCs w:val="false"/>
                <w:sz w:val="18"/>
                <w:szCs w:val="18"/>
              </w:rPr>
              <w:t xml:space="preserve">Administrative — directive §338-346, §441 (version/document-control hard gate) and §407 (page-level verification evidence), the specific gates this directive exists to enforce.</w:t>
            </w:r>
          </w:p>
        </w:tc>
        <w:tc>
          <w:tcPr>
            <w:tcW w:type="dxa" w:w="1700"/>
            <w:tcMar>
              <w:top w:type="dxa" w:w="60"/>
              <w:left w:type="dxa" w:w="80"/>
              <w:bottom w:type="dxa" w:w="60"/>
              <w:right w:type="dxa" w:w="80"/>
            </w:tcMar>
          </w:tcPr>
          <w:p>
            <w:r>
              <w:rPr>
                <w:b w:val="false"/>
                <w:bCs w:val="false"/>
                <w:sz w:val="18"/>
                <w:szCs w:val="18"/>
              </w:rPr>
              <w:t xml:space="preserve">Document/version control is a hard pre-delivery gate, explicitly including the running header/footer, not only body text.</w:t>
            </w:r>
          </w:p>
        </w:tc>
        <w:tc>
          <w:tcPr>
            <w:tcW w:type="dxa" w:w="1310"/>
            <w:tcMar>
              <w:top w:type="dxa" w:w="60"/>
              <w:left w:type="dxa" w:w="80"/>
              <w:bottom w:type="dxa" w:w="60"/>
              <w:right w:type="dxa" w:w="80"/>
            </w:tcMar>
          </w:tcPr>
          <w:p>
            <w:r>
              <w:rPr>
                <w:b w:val="false"/>
                <w:bCs w:val="false"/>
                <w:sz w:val="18"/>
                <w:szCs w:val="18"/>
              </w:rPr>
              <w:t xml:space="preserve">APPLIED (found and corrected during this amendment pass)</w:t>
            </w:r>
          </w:p>
        </w:tc>
      </w:tr>
    </w:tbl>
    <w:p>
      <w:pPr>
        <w:spacing w:before="240"/>
      </w:pPr>
    </w:p>
    <w:p>
      <w:pPr>
        <w:spacing w:after="80"/>
      </w:pPr>
      <w:r>
        <w:rPr>
          <w:b/>
          <w:bCs/>
          <w:sz w:val="22"/>
          <w:szCs w:val="22"/>
        </w:rPr>
        <w:t xml:space="preserve">Traceability Convention</w:t>
      </w:r>
    </w:p>
    <w:p>
      <w:pPr>
        <w:spacing w:after="200"/>
      </w:pPr>
      <w:r>
        <w:rPr>
          <w:sz w:val="20"/>
          <w:szCs w:val="20"/>
        </w:rPr>
        <w:t xml:space="preserve">Every new or modified requirement traces to approved NCIE-001 v1.3, approved NCIE-002 v0.5, approved NCIE-003 v0.4 and/or approved NCIE-007 v1.1 using each chapter's existing Upstream/Traceability line — no new or competing traceability scheme was introduced.</w:t>
      </w:r>
    </w:p>
    <w:p>
      <w:pPr>
        <w:spacing w:after="80"/>
      </w:pPr>
      <w:r>
        <w:rPr>
          <w:b/>
          <w:bCs/>
          <w:sz w:val="22"/>
          <w:szCs w:val="22"/>
        </w:rPr>
        <w:t xml:space="preserve">Technology Decision Matrix Reconciliation</w:t>
      </w:r>
    </w:p>
    <w:p>
      <w:pPr>
        <w:spacing w:after="200"/>
      </w:pPr>
      <w:r>
        <w:rPr>
          <w:sz w:val="20"/>
          <w:szCs w:val="20"/>
        </w:rPr>
        <w:t xml:space="preserve">165 (v1.1) + 31 added − 0 removed = 196 (v1.2). 1 decision (TD-20-3) reclassified from Proposed Design Default to Superseded (a category shift, not an addition or removal, and already counted within the 165 baseline). Human Review Register: 132 non-mandate items (17 Blocking / 115 Non-Blocking) → 156 (19 Blocking / 137 Non-Blocking); the 2 new Blocking items are TD-20-13 (Generated-code execution) and TD-4-8 (Agent resource ceilings), both Infrastructure/Engineering Discovery Required.</w:t>
      </w:r>
    </w:p>
    <w:p>
      <w:pPr>
        <w:spacing w:after="80"/>
      </w:pPr>
      <w:r>
        <w:rPr>
          <w:b/>
          <w:bCs/>
          <w:sz w:val="22"/>
          <w:szCs w:val="22"/>
        </w:rPr>
        <w:t xml:space="preserve">Additional Consistency Amendments Found (Full-Document Contradiction Scan)</w:t>
      </w:r>
    </w:p>
    <w:p>
      <w:r>
        <w:rPr>
          <w:sz w:val="20"/>
          <w:szCs w:val="20"/>
        </w:rPr>
        <w:t xml:space="preserve">A full-document scan for stale current-authority version references (NCIE-001 v1.2, NCIE-002 v0.4, NCIE-003 v0.3 cited as current authority; NCIE-004 v1.1 cited as current edition) found two occurrences requiring correction: the Document Governance table's pre-existing "Edition: Version 1.0" defect (AM-DOC) and the running header's "VERSION 1.1" on all 82 pages (AM-DOC). No other pre-existing stale or contradicting statement was found. A semantic scan for statements implying Agent Creation = Authority Creation, Ephemeral Agent = Registered Reusable Agent, VPF Validation = Human/Institutional Approval, Agent Runtime = Workflow Engine, or Shared Registry Storage = Shared Governance Semantics found none; every governing invariant from the directive's §3 list is stated explicitly at least once and preserved throughout. No additional surgical amendment beyond AM-1 through AM-17 and AM-DOC was required.</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2026-09-04T16:43:29.144Z</dcterms:created>
  <dcterms:modified xsi:type="dcterms:W3CDTF">2026-09-04T16:43:29.151Z</dcterms:modified>
</cp:coreProperties>
</file>

<file path=docProps/custom.xml><?xml version="1.0" encoding="utf-8"?>
<Properties xmlns="http://schemas.openxmlformats.org/officeDocument/2006/custom-properties" xmlns:vt="http://schemas.openxmlformats.org/officeDocument/2006/docPropsVTypes"/>
</file>