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NCIE-005 v1.2 → v1.3</w:t>
      </w:r>
    </w:p>
    <w:p>
      <w:pPr>
        <w:spacing w:after="120"/>
        <w:jc w:val="center"/>
      </w:pPr>
      <w:r>
        <w:rPr>
          <w:b/>
          <w:bCs/>
          <w:sz w:val="28"/>
          <w:szCs w:val="28"/>
        </w:rPr>
        <w:t xml:space="preserve">Amendment Verification Report</w:t>
      </w:r>
    </w:p>
    <w:p>
      <w:pPr>
        <w:spacing w:after="280"/>
        <w:jc w:val="center"/>
      </w:pPr>
      <w:r>
        <w:rPr>
          <w:i/>
          <w:iCs/>
          <w:sz w:val="20"/>
          <w:szCs w:val="20"/>
        </w:rPr>
        <w:t xml:space="preserve">VPF &amp; Dynamic Agent Synthesis Behavioral Consistency Surgical Amendment — IN DEVELOPMENT / FOR HUMAN REVIEW</w:t>
      </w:r>
    </w:p>
    <w:p>
      <w:pPr>
        <w:spacing w:after="80" w:before="200"/>
      </w:pPr>
      <w:r>
        <w:rPr>
          <w:b/>
          <w:bCs/>
          <w:sz w:val="22"/>
          <w:szCs w:val="22"/>
        </w:rPr>
        <w:t xml:space="preserve">1. Scope Verification</w:t>
      </w:r>
    </w:p>
    <w:p>
      <w:pPr>
        <w:spacing w:after="120"/>
      </w:pPr>
      <w:r>
        <w:rPr>
          <w:sz w:val="20"/>
          <w:szCs w:val="20"/>
        </w:rPr>
        <w:t xml:space="preserve">Substantive amendments are confined to Chapters 1, 2, 7, 8, 10, 11, 13, 14, 15, 21, 23, 24, 25, 26, 27, 28, 29, 30, 31, 32, 33, 34 and 35, plus front matter and the running header. Chapters 3, 4, 5, 6, 9, 12, 16-20 and 22 were reviewed against the current approved authority chain and required no substantive change, per the directive's explicit instruction not to manufacture behavior merely to touch every chapter.</w:t>
      </w:r>
    </w:p>
    <w:p>
      <w:pPr>
        <w:spacing w:after="80" w:before="200"/>
      </w:pPr>
      <w:r>
        <w:rPr>
          <w:b/>
          <w:bCs/>
          <w:sz w:val="22"/>
          <w:szCs w:val="22"/>
        </w:rPr>
        <w:t xml:space="preserve">2. 35-Chapter Verification</w:t>
      </w:r>
    </w:p>
    <w:p>
      <w:pPr>
        <w:spacing w:after="120"/>
      </w:pPr>
      <w:r>
        <w:rPr>
          <w:sz w:val="20"/>
          <w:szCs w:val="20"/>
        </w:rPr>
        <w:t xml:space="preserve">A programmatic heading scan confirms all 35 chapters present in original order (regex match on 'NCIE-005 — Chapter N Expansion', N = 1..35, each found exactly once). No chapter was added, removed, duplicated or renumbered. New subsections were inserted using the next available decimal within each amended chapter's existing numbering (e.g. Ch.25 gains §25.2-§25.6 following its existing §25.1; Ch.35 gains §35.1A, §35.2A and §35.5 alongside its existing §35.1-§35.4).</w:t>
      </w:r>
    </w:p>
    <w:p>
      <w:pPr>
        <w:spacing w:after="80" w:before="200"/>
      </w:pPr>
      <w:r>
        <w:rPr>
          <w:b/>
          <w:bCs/>
          <w:sz w:val="22"/>
          <w:szCs w:val="22"/>
        </w:rPr>
        <w:t xml:space="preserve">3. Substantive Diff Verification</w:t>
      </w:r>
    </w:p>
    <w:p>
      <w:pPr>
        <w:spacing w:after="120"/>
      </w:pPr>
      <w:r>
        <w:rPr>
          <w:sz w:val="20"/>
          <w:szCs w:val="20"/>
        </w:rPr>
        <w:t xml:space="preserve">A paragraph-level diff confirms: 2 new rows in Chapter 2's Behavioral Invariants Register (Table 2); 41 new prose subsections across the 21 amended body chapters; 5 new Human Review Register rows (Chapter 34, Table 31) inserted in correct chapter order; 23 traceability-matrix rows extended in place (Chapter 35, Table 32) with their NCIE-003/004/006/007 dependency; and front-matter/governance/running-header corrections. No paragraph or table outside these locations was altered.</w:t>
      </w:r>
    </w:p>
    <w:p>
      <w:pPr>
        <w:spacing w:after="80" w:before="200"/>
      </w:pPr>
      <w:r>
        <w:rPr>
          <w:b/>
          <w:bCs/>
          <w:sz w:val="22"/>
          <w:szCs w:val="22"/>
        </w:rPr>
        <w:t xml:space="preserve">4. Dynamic Agent Behavior Verification</w:t>
      </w:r>
    </w:p>
    <w:p>
      <w:pPr>
        <w:spacing w:after="120"/>
      </w:pPr>
      <w:r>
        <w:rPr>
          <w:sz w:val="20"/>
          <w:szCs w:val="20"/>
        </w:rPr>
        <w:t xml:space="preserve">Chapter 25 §25.3 requires ARGUS to behaviorally distinguish Capability Already Available, Eligible Registered Agent Available, Dynamic Synthesis Required, Required Primitive Missing and Capability Temporarily Unavailable, and to derive Agent status from authoritative system state (GENERATED TEXT ≠ SYSTEM STATUS) rather than model-generated prose. Chapter 1 §1.4 and Chapter 2 §2.3 establish the current-authority chain and invariant set (AGENT FACTORY AVAILABLE ≠ SYNTHESIS AUTHORIZED, etc.) that this behavior is checked against.</w:t>
      </w:r>
    </w:p>
    <w:p>
      <w:pPr>
        <w:spacing w:after="80" w:before="200"/>
      </w:pPr>
      <w:r>
        <w:rPr>
          <w:b/>
          <w:bCs/>
          <w:sz w:val="22"/>
          <w:szCs w:val="22"/>
        </w:rPr>
        <w:t xml:space="preserve">5. Agent Factory Interaction Verification</w:t>
      </w:r>
    </w:p>
    <w:p>
      <w:pPr>
        <w:spacing w:after="120"/>
      </w:pPr>
      <w:r>
        <w:rPr>
          <w:sz w:val="20"/>
          <w:szCs w:val="20"/>
        </w:rPr>
        <w:t xml:space="preserve">Chapter 25 §25.4 confirms synthesis never expands human authority; a requested Agent exceeding current authorization is communicated as a boundary, not attempted. Where a required primitive is missing, the behavioral outcome is an Engineering Change Candidate (§25.4), never a fabricated capability. The Codex boundary is preserved verbatim: Codex/engineering builds/maintains platform primitives, ARGUS uses approved implemented primitives through Agent Factory without Codex hand-coding each bounded Agent.</w:t>
      </w:r>
    </w:p>
    <w:p>
      <w:pPr>
        <w:spacing w:after="80" w:before="200"/>
      </w:pPr>
      <w:r>
        <w:rPr>
          <w:b/>
          <w:bCs/>
          <w:sz w:val="22"/>
          <w:szCs w:val="22"/>
        </w:rPr>
        <w:t xml:space="preserve">6. Registered Agent Reuse Verification</w:t>
      </w:r>
    </w:p>
    <w:p>
      <w:pPr>
        <w:spacing w:after="120"/>
      </w:pPr>
      <w:r>
        <w:rPr>
          <w:sz w:val="20"/>
          <w:szCs w:val="20"/>
        </w:rPr>
        <w:t xml:space="preserve">Chapter 25 §25.3 requires ARGUS to use/recommend an eligible Registered Reusable Agent per current authorization where one exists, and explicitly prohibits claiming novel synthesis occurred when reuse occurred. Chapter 31 §31.2's test suite includes an explicit Registered Agent reuse test verifying this distinction.</w:t>
      </w:r>
    </w:p>
    <w:p>
      <w:pPr>
        <w:spacing w:after="80" w:before="200"/>
      </w:pPr>
      <w:r>
        <w:rPr>
          <w:b/>
          <w:bCs/>
          <w:sz w:val="22"/>
          <w:szCs w:val="22"/>
        </w:rPr>
        <w:t xml:space="preserve">7. Ephemeral Agent Behavior Verification</w:t>
      </w:r>
    </w:p>
    <w:p>
      <w:pPr>
        <w:spacing w:after="120"/>
      </w:pPr>
      <w:r>
        <w:rPr>
          <w:sz w:val="20"/>
          <w:szCs w:val="20"/>
        </w:rPr>
        <w:t xml:space="preserve">Chapter 25 §25.6 requires truthful preparation-status language (Preparing/Validating/Ready/Running/Failed/Expired) without fabricated progress percentages, and distinguishes failure causes (Capability Failure, Authorization Limitation, Context Unavailable, Model/Tool Unavailable, Runtime Failure, Validation Failure) without inventing a cause or blaming the user. Cancellation is distinguished from external-action cancellation; expiry is distinguished from deletion of institutional provenance (Ch.13 §13.4 for Room-scoped Agents).</w:t>
      </w:r>
    </w:p>
    <w:p>
      <w:pPr>
        <w:spacing w:after="80" w:before="200"/>
      </w:pPr>
      <w:r>
        <w:rPr>
          <w:b/>
          <w:bCs/>
          <w:sz w:val="22"/>
          <w:szCs w:val="22"/>
        </w:rPr>
        <w:t xml:space="preserve">8. Promotion Verification</w:t>
      </w:r>
    </w:p>
    <w:p>
      <w:pPr>
        <w:spacing w:after="120"/>
      </w:pPr>
      <w:r>
        <w:rPr>
          <w:sz w:val="20"/>
          <w:szCs w:val="20"/>
        </w:rPr>
        <w:t xml:space="preserve">Chapter 25 §25.4 and Chapter 2's amended invariant register require ARGUS to distinguish Promotion Recommended, Under Review, Approved, Rejected and Agent Registered, and prohibit self-registration absolutely. HR-25-2 (new) records that institutional ownership of Promotion Candidate approval remains unresolved, correctly deferred to NCIE-008 rather than fabricated.</w:t>
      </w:r>
    </w:p>
    <w:p>
      <w:pPr>
        <w:spacing w:after="80" w:before="200"/>
      </w:pPr>
      <w:r>
        <w:rPr>
          <w:b/>
          <w:bCs/>
          <w:sz w:val="22"/>
          <w:szCs w:val="22"/>
        </w:rPr>
        <w:t xml:space="preserve">9. Engineering Change Candidate Verification</w:t>
      </w:r>
    </w:p>
    <w:p>
      <w:pPr>
        <w:spacing w:after="120"/>
      </w:pPr>
      <w:r>
        <w:rPr>
          <w:sz w:val="20"/>
          <w:szCs w:val="20"/>
        </w:rPr>
        <w:t xml:space="preserve">Chapter 25 §25.4 requires ARGUS to explain that engineering enablement is required rather than pretending execution is underway, and permits offering/routing the governed Engineering Change Candidate process without claiming the capability now exists (ENGINEERING CANDIDATE ≠ IMPLEMENTED CAPABILITY, preserved via Chapter 2's cross-reference).</w:t>
      </w:r>
    </w:p>
    <w:p>
      <w:pPr>
        <w:spacing w:after="80" w:before="200"/>
      </w:pPr>
      <w:r>
        <w:rPr>
          <w:b/>
          <w:bCs/>
          <w:sz w:val="22"/>
          <w:szCs w:val="22"/>
        </w:rPr>
        <w:t xml:space="preserve">10. VPF State/Presentation Verification</w:t>
      </w:r>
    </w:p>
    <w:p>
      <w:pPr>
        <w:spacing w:after="120"/>
      </w:pPr>
      <w:r>
        <w:rPr>
          <w:sz w:val="20"/>
          <w:szCs w:val="20"/>
        </w:rPr>
        <w:t xml:space="preserve">Chapter 26 §26.2 and Chapter 2 §2.3 require ARGUS to present PASS, QUALIFIED, HUMAN_REVIEW_REQUIRED, REJECT and VALIDATION_UNAVAILABLE with distinct, non-collapsed meaning. QUALIFIED must remain visibly qualified; Human-Review-required output remains visibly review-dependent; rejected artifacts are never presented as ordinary validated deliverables. Composite ARGUS synthesis of multiple validated components does not automatically inherit their PASS (COMPONENT PASS ≠ COMPOSITE PASS, Ch.26 §26.2).</w:t>
      </w:r>
    </w:p>
    <w:p>
      <w:pPr>
        <w:spacing w:after="80" w:before="200"/>
      </w:pPr>
      <w:r>
        <w:rPr>
          <w:b/>
          <w:bCs/>
          <w:sz w:val="22"/>
          <w:szCs w:val="22"/>
        </w:rPr>
        <w:t xml:space="preserve">11. Gate A/Gate B Behavioral Verification</w:t>
      </w:r>
    </w:p>
    <w:p>
      <w:pPr>
        <w:spacing w:after="120"/>
      </w:pPr>
      <w:r>
        <w:rPr>
          <w:sz w:val="20"/>
          <w:szCs w:val="20"/>
        </w:rPr>
        <w:t xml:space="preserve">Chapter 25 §25.6 confirms Gate A need not be exposed by internal name in ordinary interaction and that Gate A failure results in non-activation with a truthful limitation explanation, never 'almost approved' language. Chapter 2 §2.3 and Chapter 35 §35.2A confirm GATE A PASS ≠ HUMAN APPROVAL and GATE B PASS ≠ HUMAN APPROVAL are stated and that Gate A and Gate B are never conflated with each other or with Human Approval, Registration, Formal Finding or Institutional Decision anywhere in the amended text.</w:t>
      </w:r>
    </w:p>
    <w:p>
      <w:pPr>
        <w:spacing w:after="80" w:before="200"/>
      </w:pPr>
      <w:r>
        <w:rPr>
          <w:b/>
          <w:bCs/>
          <w:sz w:val="22"/>
          <w:szCs w:val="22"/>
        </w:rPr>
        <w:t xml:space="preserve">12. Tool/Action State Verification</w:t>
      </w:r>
    </w:p>
    <w:p>
      <w:pPr>
        <w:spacing w:after="120"/>
      </w:pPr>
      <w:r>
        <w:rPr>
          <w:sz w:val="20"/>
          <w:szCs w:val="20"/>
        </w:rPr>
        <w:t xml:space="preserve">Chapter 25 §25.5 requires ARGUS to distinguish Action Proposed, Approval Required, Approval Received, Execution Submitted, Execution Verified and Outcome Unknown, deriving execution status from authoritative Tool receipt/reconciliation state rather than Agent narration (AGENT / ARGUS PROPOSAL ≠ TOOL EXECUTION). Blind automatic retry after timeout is prohibited; approval does not carry over automatically when Action/Target/Scope/Parameters/Version materially change.</w:t>
      </w:r>
    </w:p>
    <w:p>
      <w:pPr>
        <w:spacing w:after="80" w:before="200"/>
      </w:pPr>
      <w:r>
        <w:rPr>
          <w:b/>
          <w:bCs/>
          <w:sz w:val="22"/>
          <w:szCs w:val="22"/>
        </w:rPr>
        <w:t xml:space="preserve">13. Memory/Context Boundary Verification</w:t>
      </w:r>
    </w:p>
    <w:p>
      <w:pPr>
        <w:spacing w:after="120"/>
      </w:pPr>
      <w:r>
        <w:rPr>
          <w:sz w:val="20"/>
          <w:szCs w:val="20"/>
        </w:rPr>
        <w:t xml:space="preserve">Chapter 23 §23.2 keeps ARGUS Conversational Context, Institutional Memory, Task-Scoped Agent Context and Historical Decision-Time Context distinct; Agent Context is minimum-necessary and its unavailability is communicated rather than fabricated; task-scoped Context expiring with the Run does not become Institutional Memory (AGENT RUNTIME STATE ≠ INSTITUTIONAL MEMORY). MEMORY ≠ CURRENT TRUTH is preserved for consequential current-state questions. NCIE-006 v1.1 is cited throughout as the current baseline, never as already surgically amended (verified by the full-document scan in item 24 below).</w:t>
      </w:r>
    </w:p>
    <w:p>
      <w:pPr>
        <w:spacing w:after="80" w:before="200"/>
      </w:pPr>
      <w:r>
        <w:rPr>
          <w:b/>
          <w:bCs/>
          <w:sz w:val="22"/>
          <w:szCs w:val="22"/>
        </w:rPr>
        <w:t xml:space="preserve">14. Provenance Verification</w:t>
      </w:r>
    </w:p>
    <w:p>
      <w:pPr>
        <w:spacing w:after="120"/>
      </w:pPr>
      <w:r>
        <w:rPr>
          <w:sz w:val="20"/>
          <w:szCs w:val="20"/>
        </w:rPr>
        <w:t xml:space="preserve">Chapter 27 §27.2 requires distinguishable provenance for ARGUS Direct AI, Registered Agent, Ephemeral Agent, Multi-Agent Composite, VPF Validation, Human Modification and Human Decision/Approval, sufficient for trust/review/challenge/Decision-Time reconstruction without exposing raw system traces. Evidence citation discipline is confirmed not weakened by Agent origin (Ch.27 §27.2); human-edited AI artifacts retain the Original/Modified distinction rather than full AI or full human attribution.</w:t>
      </w:r>
    </w:p>
    <w:p>
      <w:pPr>
        <w:spacing w:after="80" w:before="200"/>
      </w:pPr>
      <w:r>
        <w:rPr>
          <w:b/>
          <w:bCs/>
          <w:sz w:val="22"/>
          <w:szCs w:val="22"/>
        </w:rPr>
        <w:t xml:space="preserve">15. Voice/Privacy Verification</w:t>
      </w:r>
    </w:p>
    <w:p>
      <w:pPr>
        <w:spacing w:after="120"/>
      </w:pPr>
      <w:r>
        <w:rPr>
          <w:sz w:val="20"/>
          <w:szCs w:val="20"/>
        </w:rPr>
        <w:t xml:space="preserve">Chapter 29 §29.2 confirms VPF PASS ≠ SPOKEN-DISCLOSURE AUTHORIZATION applies identically regardless of AI/Agent/Registered-Agent/Ephemeral-Agent/Composite origin. Voice Presence, Speaker Recognition, Transcript and spoken 'yes' are confirmed insufficient for institutional approval absent the governed authenticated mechanism. Spoken Agent/VPF status preserves semantic accuracy — 'Approved' is never spoken for a state that is merely Gate A/B PASS or QUALIFIED. §29.3 confirms prompt-injection resistance: instructions embedded in Evidence/Memory/External/Tool/Agent Output are treated as data, and AI text claiming 'VPF PASS' is not authoritative (TEXT SAYING “VPF PASS” ≠ VPF PASS).</w:t>
      </w:r>
    </w:p>
    <w:p>
      <w:pPr>
        <w:spacing w:after="80" w:before="200"/>
      </w:pPr>
      <w:r>
        <w:rPr>
          <w:b/>
          <w:bCs/>
          <w:sz w:val="22"/>
          <w:szCs w:val="22"/>
        </w:rPr>
        <w:t xml:space="preserve">16. Degraded-Mode Verification</w:t>
      </w:r>
    </w:p>
    <w:p>
      <w:pPr>
        <w:spacing w:after="120"/>
      </w:pPr>
      <w:r>
        <w:rPr>
          <w:sz w:val="20"/>
          <w:szCs w:val="20"/>
        </w:rPr>
        <w:t xml:space="preserve">Chapter 30 §30.2 confirms ARGUS distinguishes Agent Factory Unavailable, Ephemeral Runtime Unavailable, VPF Validation Unavailable, No Eligible Model, Tool Unavailable, Registry State Unavailable and Human Review Pending/Unavailable from each other and from total ARGUS failure (AI / AGENT / VPF FAILURE ≠ TOTAL NCIE FAILURE). VPF unavailability is confirmed never to fail open — affected output remains unvalidated rather than presented as passed.</w:t>
      </w:r>
    </w:p>
    <w:p>
      <w:pPr>
        <w:spacing w:after="80" w:before="200"/>
      </w:pPr>
      <w:r>
        <w:rPr>
          <w:b/>
          <w:bCs/>
          <w:sz w:val="22"/>
          <w:szCs w:val="22"/>
        </w:rPr>
        <w:t xml:space="preserve">17. Evaluation/Acceptance Verification</w:t>
      </w:r>
    </w:p>
    <w:p>
      <w:pPr>
        <w:spacing w:after="120"/>
      </w:pPr>
      <w:r>
        <w:rPr>
          <w:sz w:val="20"/>
          <w:szCs w:val="20"/>
        </w:rPr>
        <w:t xml:space="preserve">Chapter 31 §31.2 specifies the full Dynamic Agent/VPF behavioral test suite (13 scenario classes: positive synthesis flow, Registered Agent reuse, capability-gap handling, self-registration/recursive-synthesis refusal, VPF bypass/manipulation resistance, qualification/review fidelity, human-modification recognition, multi-Agent consensus/disagreement, Tool outcome-unknown, degraded-mode communication, voice boundaries, prompt-injection resistance, provenance distinction, Decision-Time reconstruction), explicitly stating tests are not marked passed without implementation evidence — consistent with Chapter 35 §35.5's BEHAVIOR SPECIFIED ≠ CAPABILITY IMPLEMENTED disposition.</w:t>
      </w:r>
    </w:p>
    <w:p>
      <w:pPr>
        <w:spacing w:after="80" w:before="200"/>
      </w:pPr>
      <w:r>
        <w:rPr>
          <w:b/>
          <w:bCs/>
          <w:sz w:val="22"/>
          <w:szCs w:val="22"/>
        </w:rPr>
        <w:t xml:space="preserve">18. Human Review Register Reconciliation</w:t>
      </w:r>
    </w:p>
    <w:p>
      <w:pPr>
        <w:spacing w:after="120"/>
      </w:pPr>
      <w:r>
        <w:rPr>
          <w:sz w:val="20"/>
          <w:szCs w:val="20"/>
        </w:rPr>
        <w:t xml:space="preserve">Chapter 34's register (Table 31) was mechanically re-extracted from the final document: 22 total items (10 Proposed Design Default / 8 Institutional Confirmation Required / 3 Legal/Policy Confirmation Required / 1 Resolved by Upstream Baseline / 0 Workflow-Source Discovery), 11 Blocking / 11 Non-Blocking — recomputed programmatically from final table cell content, not hand-counted. Table 30's summary was verified to match Table 31 exactly (the same relationship the v1.2 front matter §0.9 already established and this amendment preserves). Arithmetic reconciles: 17 (v1.2) + 5 added (HR-15-3, HR-25-1, HR-25-2, HR-29-3, HR-30-1) − 0 removed = 22 (v1.3). No existing item was silently resolved, merged or deleted; §34.6's Reconciliation Note records the same delta.</w:t>
      </w:r>
    </w:p>
    <w:p>
      <w:pPr>
        <w:spacing w:after="80" w:before="200"/>
      </w:pPr>
      <w:r>
        <w:rPr>
          <w:b/>
          <w:bCs/>
          <w:sz w:val="22"/>
          <w:szCs w:val="22"/>
        </w:rPr>
        <w:t xml:space="preserve">19. Traceability Verification</w:t>
      </w:r>
    </w:p>
    <w:p>
      <w:pPr>
        <w:spacing w:after="120"/>
      </w:pPr>
      <w:r>
        <w:rPr>
          <w:sz w:val="20"/>
          <w:szCs w:val="20"/>
        </w:rPr>
        <w:t xml:space="preserve">Chapter 35's Table 32 traceability matrix was extended (not replaced) for the 23 rows corresponding to every amended chapter (1, 2, 7, 8, 10, 11, 13, 14, 15, 21, 23-30, 32-35), each now citing its applicable NCIE-003 v0.4 / NCIE-004 v1.2 / NCIE-007 v1.1 dependency alongside its pre-existing NCIE-002/003 citation. New §35.1A states the complete current authority chain including NCIE-007 v1.1 (previously absent from this document, which predates NCIE-007 as a separate specification) and NCIE-006 v1.1 as the current Memory/Context baseline. No orphan Dynamic Agent/VPF behavioral requirement was found without a citation to at least one current approved authority.</w:t>
      </w:r>
    </w:p>
    <w:p>
      <w:pPr>
        <w:spacing w:after="80" w:before="200"/>
      </w:pPr>
      <w:r>
        <w:rPr>
          <w:b/>
          <w:bCs/>
          <w:sz w:val="22"/>
          <w:szCs w:val="22"/>
        </w:rPr>
        <w:t xml:space="preserve">20. Generated-Code Status Verification</w:t>
      </w:r>
    </w:p>
    <w:p>
      <w:pPr>
        <w:spacing w:after="120"/>
      </w:pPr>
      <w:r>
        <w:rPr>
          <w:sz w:val="20"/>
          <w:szCs w:val="20"/>
        </w:rPr>
        <w:t xml:space="preserve">Every reference to generated-code Agent activation in the amended document (Ch.25 §25.4, Ch.35 §35.5) reports one coherent disposition: NOT presented as an available ordinary ARGUS capability, consistent with NCIE-004 v1.2's TD-20-13 (not activated by that amendment either). No occurrence implies generated-code Agents are operationally available, and configuration/composition-based Dynamic Agent Synthesis is explicitly stated as unaffected by the generated-code status.</w:t>
      </w:r>
    </w:p>
    <w:p>
      <w:pPr>
        <w:spacing w:after="80" w:before="200"/>
      </w:pPr>
      <w:r>
        <w:rPr>
          <w:b/>
          <w:bCs/>
          <w:sz w:val="22"/>
          <w:szCs w:val="22"/>
        </w:rPr>
        <w:t xml:space="preserve">21. Recursive-Synthesis Verification</w:t>
      </w:r>
    </w:p>
    <w:p>
      <w:pPr>
        <w:spacing w:after="120"/>
      </w:pPr>
      <w:r>
        <w:rPr>
          <w:sz w:val="20"/>
          <w:szCs w:val="20"/>
        </w:rPr>
        <w:t xml:space="preserve">A full-text scan confirms RECURSIVE DYNAMIC AGENT SYNTHESIS REMAINS DISABLED is stated in Ch.2 §2.3 (via the invariant register) and Ch.25 §25.4, with no contradicting statement anywhere implying an Ephemeral Agent may ordinarily create further Agents. Bounded Agent-to-Agent delegation, where separately approved upstream, is not addressed by this behavioral amendment (correctly deferred to NCIE-007) and is not conflated with recursive synthesis.</w:t>
      </w:r>
    </w:p>
    <w:p>
      <w:pPr>
        <w:spacing w:after="80" w:before="200"/>
      </w:pPr>
      <w:r>
        <w:rPr>
          <w:b/>
          <w:bCs/>
          <w:sz w:val="22"/>
          <w:szCs w:val="22"/>
        </w:rPr>
        <w:t xml:space="preserve">22. Self-Registration Verification</w:t>
      </w:r>
    </w:p>
    <w:p>
      <w:pPr>
        <w:spacing w:after="120"/>
      </w:pPr>
      <w:r>
        <w:rPr>
          <w:sz w:val="20"/>
          <w:szCs w:val="20"/>
        </w:rPr>
        <w:t xml:space="preserve">A full-text scan confirms AGENT SELF-REGISTRATION IS PROHIBITED is stated in Ch.2 (Table 2's new Does-Not-Autonomously row) and Ch.25 §25.4, with Promotion Candidate recommendation clearly and consistently distinguished from registration everywhere the concept appears (Ch.2, Ch.14, Ch.25, Ch.35 §35.2A).</w:t>
      </w:r>
    </w:p>
    <w:p>
      <w:pPr>
        <w:spacing w:after="80" w:before="200"/>
      </w:pPr>
      <w:r>
        <w:rPr>
          <w:b/>
          <w:bCs/>
          <w:sz w:val="22"/>
          <w:szCs w:val="22"/>
        </w:rPr>
        <w:t xml:space="preserve">23. Version &amp; Document-Control Verification</w:t>
      </w:r>
    </w:p>
    <w:p>
      <w:pPr>
        <w:spacing w:after="120"/>
      </w:pPr>
      <w:r>
        <w:rPr>
          <w:sz w:val="20"/>
          <w:szCs w:val="20"/>
        </w:rPr>
        <w:t xml:space="preserve">Cover: confirmed reading 'Traces to approved NCIE-001 v1.3 ... approved NCIE-002 v0.5 ... approved NCIE-003 v0.4 ... approved NCIE-004 v1.2 ... and approved NCIE-007 v1.1 ... uses NCIE-006 v1.1 as the current Memory/Context baseline' — no stale v1.2/v0.4/v0.3/v1.1-as-current-NCIE-004 reference remains. Document Governance table: Edition, Requirements/Architecture/Canonical-data/Engineering-baseline authorities, new Orchestration authority, new Memory/Context baseline, new Prior baseline and Status rows all confirmed by reading final table cell content programmatically (not visual sampling) — all show v1.3/v1.3/v0.5/v0.4/v1.2/v1.1/v1.1 as applicable. Filename: NCIE-005_ARGUS_Intelligence_Assistant_Specification_v1_3_IN_DEVELOPMENT.docx — confirmed. Supersedes/Prior baseline: correctly identifies the actual full NCIE-005 v1.2 (IN DEVELOPMENT — FOR HUMAN REVIEW) document. Status: IN DEVELOPMENT — FOR HUMAN REVIEW OF SURGICAL AMENDMENT (not Approved) — confirmed.</w:t>
      </w:r>
    </w:p>
    <w:p>
      <w:pPr>
        <w:spacing w:after="80" w:before="200"/>
      </w:pPr>
      <w:r>
        <w:rPr>
          <w:b/>
          <w:bCs/>
          <w:sz w:val="22"/>
          <w:szCs w:val="22"/>
        </w:rPr>
        <w:t xml:space="preserve">24. Running Header — Page-Level Version Scan</w:t>
      </w:r>
    </w:p>
    <w:p>
      <w:pPr>
        <w:spacing w:after="120"/>
      </w:pPr>
      <w:r>
        <w:rPr>
          <w:sz w:val="20"/>
          <w:szCs w:val="20"/>
        </w:rPr>
        <w:t xml:space="preserve">Having encountered this exact defect class on both prior NCIE-004 and (pre-existing, uncorrected until now) NCIE-005 v1.1→v1.2 hardening passes, this check was performed proactively before claiming completion rather than being discovered afterward. After all substantive chapter amendments and front-matter/governance corrections were applied, the running header (word/header1.xml, a document part untouched by body-text edits) was inspected directly via python-docx and found to read 'NCIE-005 | ARGUS INTELLIGENCE ASSISTANT SPECIFICATION | VERSION 1.2'. The header run was corrected to VERSION 1.3, the document was rendered to PDF via Microsoft Word (54 pages), and a full page-level text scan of the rendered output found the string 'NCIE-005 | ARGUS INTELLIGENCE ASSISTANT SPECIFICATION | VERSION 1.3' as the sole variant present across all 54 pages, with zero occurrences of VERSION 1.2. Required final stale count: 0 — confirmed.</w:t>
      </w:r>
    </w:p>
    <w:p>
      <w:pPr>
        <w:spacing w:after="120"/>
      </w:pPr>
      <w:r>
        <w:rPr>
          <w:sz w:val="20"/>
          <w:szCs w:val="20"/>
        </w:rPr>
        <w:t xml:space="preserve">A second, independent document-control defect was found and corrected: the Document Governance table's Edition field read 'In development — Version 1.0' — the identical template defect already found and corrected during NCIE-004's own v1.1→v1.2 amendment (that document's cover already correctly said 'Version 1.1'/'1.2' while its governance table lagged). Recorded in the Change Register as AM-DOC alongside the header fix.</w:t>
      </w:r>
    </w:p>
    <w:p>
      <w:pPr>
        <w:spacing w:after="80" w:before="200"/>
      </w:pPr>
      <w:r>
        <w:rPr>
          <w:b/>
          <w:bCs/>
          <w:sz w:val="22"/>
          <w:szCs w:val="22"/>
        </w:rPr>
        <w:t xml:space="preserve">25. Full-Document Stale-Authority Scan</w:t>
      </w:r>
    </w:p>
    <w:p>
      <w:pPr>
        <w:spacing w:after="120"/>
      </w:pPr>
      <w:r>
        <w:rPr>
          <w:sz w:val="20"/>
          <w:szCs w:val="20"/>
        </w:rPr>
        <w:t xml:space="preserve">Every occurrence of 'v1.2' in the final document body and tables was individually inspected. All are either (a) the correctly-current citation to approved NCIE-004 v1.2 (NCIE-004's current version genuinely is v1.2, unchanged by this amendment), or (b) explicitly historical content: the pre-existing '0.9 Hardening Pass (v1.1)' section's v1.2 cross-references, the new '0.10 Document Amendment History' section's 'Version: v1.2' historical entry, and the new 'Prior baseline' governance-table row. No current-authority statement anywhere in the document cites NCIE-001 v1.2, NCIE-002 v0.4, NCIE-003 v0.3, NCIE-004 v1.1, or NCIE-005 v1.2 as a current reference.</w:t>
      </w:r>
    </w:p>
    <w:p>
      <w:pPr>
        <w:spacing w:after="80" w:before="200"/>
      </w:pPr>
      <w:r>
        <w:rPr>
          <w:b/>
          <w:bCs/>
          <w:sz w:val="22"/>
          <w:szCs w:val="22"/>
        </w:rPr>
        <w:t xml:space="preserve">26. Semantic Contradiction Scan</w:t>
      </w:r>
    </w:p>
    <w:p>
      <w:pPr>
        <w:spacing w:after="120"/>
      </w:pPr>
      <w:r>
        <w:rPr>
          <w:sz w:val="20"/>
          <w:szCs w:val="20"/>
        </w:rPr>
        <w:t xml:space="preserve">A full-text scan for statements implying ARGUS creates Agents itself (rather than requesting Agent Factory synthesis), Agent success equals approval, self-registration is available, recursive synthesis is available, generated-code Agents are available, VPF is optional for substantive AI output, VPF PASS equals approval, Agent consensus equals human consensus, Agent completion equals validated output, Tool proposal equals execution, Memory equals current truth, or VPF PASS equals spoken permission, found none in current-edition text. Every governing invariant listed in the directive's §9/§396 is stated explicitly (Ch.1 §1.4, Ch.2 §2.3, Ch.35 §35.2A/§35.5) and preserved consistently wherever the corresponding capability is discussed.</w:t>
      </w:r>
    </w:p>
    <w:p>
      <w:pPr>
        <w:spacing w:after="80" w:before="200"/>
      </w:pPr>
      <w:r>
        <w:rPr>
          <w:b/>
          <w:bCs/>
          <w:sz w:val="22"/>
          <w:szCs w:val="22"/>
        </w:rPr>
        <w:t xml:space="preserve">27. Visual Verification</w:t>
      </w:r>
    </w:p>
    <w:p>
      <w:pPr>
        <w:spacing w:after="120"/>
      </w:pPr>
      <w:r>
        <w:rPr>
          <w:sz w:val="20"/>
          <w:szCs w:val="20"/>
        </w:rPr>
        <w:t xml:space="preserve">The complete amended document was rendered to PDF via Microsoft Word (54 pages) with Word's own field/TOC update applied first. Cover, Document Governance, Chapters 1-2, 13-15, 23-27, 29-30, 33-35 were confirmed present at their expected locations via programmatic paragraph/table/row-count checks on the final saved document (Table 31 = 23 data rows matching the reconciled 22-item total plus header; Table 32's 23 updated rows confirmed by direct cell-text inspection) rather than by visual sampling alone. No image-based diagrams were added or altered by this amendment; all new content is prose or table rows, consistent with this document's existing convention, so no diagram-clipping risk was introduced.</w:t>
      </w:r>
    </w:p>
    <w:p>
      <w:pPr>
        <w:spacing w:after="80" w:before="200"/>
      </w:pPr>
      <w:r>
        <w:rPr>
          <w:b/>
          <w:bCs/>
          <w:sz w:val="22"/>
          <w:szCs w:val="22"/>
        </w:rPr>
        <w:t xml:space="preserve">28. No Placeholder or Fabricated Content</w:t>
      </w:r>
    </w:p>
    <w:p>
      <w:pPr>
        <w:spacing w:after="120"/>
      </w:pPr>
      <w:r>
        <w:rPr>
          <w:sz w:val="20"/>
          <w:szCs w:val="20"/>
        </w:rPr>
        <w:t xml:space="preserve">A full-text scan for TODO, TBD, PLACEHOLDER, FIXME and this build's own internal template tokens found zero matches in the final document. No fabricated Registered Agent names, VPF Profile names, Agent Factory operational availability, user-role permissions, voice-disclosure thresholds, notification SLAs, or engineering-completion claims were found for any new Agent/VPF behavior; the existing five Human Review category labels are used consistently in their place.</w:t>
      </w:r>
    </w:p>
    <w:p>
      <w:pPr>
        <w:spacing w:after="80" w:before="200"/>
      </w:pPr>
      <w:r>
        <w:rPr>
          <w:b/>
          <w:bCs/>
          <w:sz w:val="22"/>
          <w:szCs w:val="22"/>
        </w:rPr>
        <w:t xml:space="preserve">29. Three-Artifact Consistency Check</w:t>
      </w:r>
    </w:p>
    <w:p>
      <w:pPr>
        <w:spacing w:after="120"/>
      </w:pPr>
      <w:r>
        <w:rPr>
          <w:sz w:val="20"/>
          <w:szCs w:val="20"/>
        </w:rPr>
        <w:t xml:space="preserve">The amended NCIE-005 v1.3 main document, this Verification Report and the accompanying Surgical Amendment Change Register agree on: Source Version v1.2 → Target Version v1.3; Authority chain approved NCIE-001 v1.3 / NCIE-002 v0.5 / NCIE-003 v0.4 / NCIE-004 v1.2 / NCIE-007 v1.1, with NCIE-006 v1.1 as the current (not amended) Memory/Context baseline; Status IN DEVELOPMENT — FOR HUMAN REVIEW OF SURGICAL AMENDMENT (not Approved); 35 chapters preserved; amendment footprint = Chapters 1, 2, 7, 8, 10, 11, 13-15, 21, 23-35 plus front matter/running header; Human Review Register 17 → 22 (11 Blocking / 11 Non-Blocking); Generated-Code Behavioral Status = NOT presented as available; Recursive-Synthesis Status = disabled by default; Self-Registration Status = prohibited; VPF Behavioral Status = PASS/QUALIFIED/REJECT/HUMAN_REVIEW_REQUIRED/VALIDATION_UNAVAILABLE distinct and never fail-open.</w:t>
      </w:r>
    </w:p>
    <w:p>
      <w:pPr>
        <w:spacing w:after="80" w:before="200"/>
      </w:pPr>
      <w:r>
        <w:rPr>
          <w:b/>
          <w:bCs/>
          <w:sz w:val="22"/>
          <w:szCs w:val="22"/>
        </w:rPr>
        <w:t xml:space="preserve">30. Final Human-Review Readiness Disposition</w:t>
      </w:r>
    </w:p>
    <w:p>
      <w:pPr>
        <w:spacing w:after="120"/>
      </w:pPr>
      <w:r>
        <w:rPr>
          <w:sz w:val="20"/>
          <w:szCs w:val="20"/>
        </w:rPr>
        <w:t xml:space="preserve">NCIE-005 — ARGUS Intelligence Assistant Specification v1.3 — VPF &amp; Dynamic Agent Synthesis Behavioral Consistency Surgical Amendment is READY FOR HUMAN REVIEW. The v1.2 approved-pending-review baseline remains historically preserved and in force except for the specific amendments listed in the accompanying Change Register. Per Chapter 35 §35.5, this amendment specifies ARGUS's behavioral contract for Dynamic Agent Synthesis and VPF; it does not certify that the underlying engineering/orchestration capability (NCIE-004 v1.2, NCIE-007 v1.1) has been implemented or operationally activated.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2026-09-04T17:43:56.805Z</dcterms:created>
  <dcterms:modified xsi:type="dcterms:W3CDTF">2026-09-04T17:43:56.806Z</dcterms:modified>
</cp:coreProperties>
</file>

<file path=docProps/custom.xml><?xml version="1.0" encoding="utf-8"?>
<Properties xmlns="http://schemas.openxmlformats.org/officeDocument/2006/custom-properties" xmlns:vt="http://schemas.openxmlformats.org/officeDocument/2006/docPropsVTypes"/>
</file>