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NCIE-006 CONSOLIDATED CLAUDE PRODUCTION DIRECTIVE</w:t>
      </w:r>
    </w:p>
    <w:p>
      <w:pPr>
        <w:pStyle w:val="Heading1"/>
      </w:pPr>
      <w:r>
        <w:t>SUPPLEMENTARY CORRECTION — ITEMS 62–333</w:t>
      </w:r>
    </w:p>
    <w:p>
      <w:r>
        <w:t>Controlled insertion instrument. NCIE-006 v1.1 remains the current baseline; v1.2 remains the surgical-amendment target only.</w:t>
      </w:r>
    </w:p>
    <w:p>
      <w:r>
        <w:t>Assembly: retain items 1–61 unchanged; replace the incomplete item 62 with item 62 below; insert items 63–333 below; retain existing items 334–500 unchanged.</w:t>
      </w:r>
    </w:p>
    <w:p>
      <w:r>
        <w:t>Item 62 is the sole source-grounded reconstruction expressly authorized by the operator. The remaining items restore the missing Agent/VPF Memory &amp; Context directive block.</w:t>
      </w:r>
    </w:p>
    <w:p>
      <w:pPr>
        <w:pStyle w:val="Heading2"/>
      </w:pPr>
      <w:r>
        <w:t>62. Human modification</w:t>
      </w:r>
    </w:p>
    <w:p>
      <w:r>
        <w:t>Where a human materially modifies an AI-generated or VPF-validated artifact before Memory persistence or reuse, preserve the original AI artifact and the human-modified artifact as distinct provenance states. A materially modified artifact must not automatically inherit the original VPF validation state. Preserve human provenance and require applicable revalidation/governance before the modified artifact is represented as currently validated. Do not overwrite the original artifact's historical VPF state.</w:t>
      </w:r>
    </w:p>
    <w:p>
      <w:pPr>
        <w:pStyle w:val="Heading2"/>
      </w:pPr>
      <w:r>
        <w:t>63. Context Envelope authority boundary</w:t>
      </w:r>
    </w:p>
    <w:p>
      <w:r>
        <w:t>Preserve CONTEXT ENVELOPE ≠ AUTHORIZATION TOKEN. The presence of data in an Agent Context Envelope does not itself authorize disclosure, Tool execution, model use, cross-context retrieval, or consequential action. Current authorization remains independently enforceable.</w:t>
      </w:r>
    </w:p>
    <w:p>
      <w:pPr>
        <w:pStyle w:val="Heading2"/>
      </w:pPr>
      <w:r>
        <w:t>64. Context assembly for Dynamic Agents</w:t>
      </w:r>
    </w:p>
    <w:p>
      <w:r>
        <w:t>Assemble Ephemeral Agent Context from the intersection of Task Contract, current authorization, Agent Definition, purpose, Context policy, classification, Room/Investigation/Situation boundaries, and minimum necessary information. Do not provide all Context available to ARGUS by default.</w:t>
      </w:r>
    </w:p>
    <w:p>
      <w:pPr>
        <w:pStyle w:val="Heading2"/>
      </w:pPr>
      <w:r>
        <w:t>65. Context minimization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66. Context over-inclusion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67. Context under-inclusion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68. Agent Context isolation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69. Parent/child Agent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70. Delegated Context ceiling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71. Multi-Agent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72. Composite synthesis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73. Agent Context expiry</w:t>
      </w:r>
    </w:p>
    <w:p>
      <w:r>
        <w:t>Task-scoped Agent Context should expire with the applicable runtime/task lifecycle unless separate governed Memory rules require persistence. Preserve AGENT CONTEXT EXPIRY ≠ AUDIT / PROVENANCE DELETION.</w:t>
      </w:r>
    </w:p>
    <w:p>
      <w:pPr>
        <w:pStyle w:val="Heading2"/>
      </w:pPr>
      <w:r>
        <w:t>74. Agent Context persistence prohibition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75. Agent scratch state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76. Agent summary persistence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77. Conversation Memory and Agents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78. Conversation continuity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79. Conversation Memory ≠ Agent authorization</w:t>
      </w:r>
    </w:p>
    <w:p>
      <w:r>
        <w:t>Preserve the stated governance distinction: Conversation Memory ≠ Agent authorization.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80. Preference Memory and Agents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81. Agent preference limits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82. Workspace / Session Memory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83. Session termination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84. Room Memory and Agents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85. Agent Room identity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86. Room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87. Cross-Room retrieval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88. Room closure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89. Investigation Memory and Agents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90. Investigation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91. Investigation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92. Situation Memory and Agents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93. Situation Memory freshness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94. Current-state reconciliation</w:t>
      </w:r>
    </w:p>
    <w:p>
      <w:r>
        <w:t>For consequential current-state questions/actions, reconcile Memory against the authoritative current source where required. Preserve MEMORY ≠ CURRENT TRUTH.</w:t>
      </w:r>
    </w:p>
    <w:p>
      <w:pPr>
        <w:pStyle w:val="Heading2"/>
      </w:pPr>
      <w:r>
        <w:t>95. Agent use of current state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96. Agent result temporal validity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97. Decision Memory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98. Agent recommendation ≠ Decision Memory</w:t>
      </w:r>
    </w:p>
    <w:p>
      <w:r>
        <w:t>Preserve the stated governance distinction: Agent recommendation ≠ Decision Memory.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99. VPF PASS ≠ Decision Memory</w:t>
      </w:r>
    </w:p>
    <w:p>
      <w:r>
        <w:t>Preserve the stated governance distinction: VPF PASS ≠ Decision Memory.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100. Human Decision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101. Decision-Time architecture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102. Decision-Time cutoff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103. Historical Agent eligibility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104. Historical VPF state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105. Historical Tool outcome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106. Historical authorization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107. Decision-Time unavailable state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108. Current-state architecture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109. Current Agent Registry state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110. Current VPF Profile state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111. Current model/tool state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112. Current Human Approval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113. Chapter 14 — Context Assembly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114. Agent Context assembly sequence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115. Agent Definition ≠ Context authority</w:t>
      </w:r>
    </w:p>
    <w:p>
      <w:r>
        <w:t>Preserve the stated governance distinction: Agent Definition ≠ Context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116. Task Contract ≠ Context authority</w:t>
      </w:r>
    </w:p>
    <w:p>
      <w:r>
        <w:t>Preserve the stated governance distinction: Task Contract ≠ Context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117. Context assembly fail-safe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118. Context quality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119. Context conflict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120. Context duplication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121. Context source hierarchy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122. Context assembly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123. Context Envelope versioning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124. Chapter 15 — Context Propagation</w:t>
      </w:r>
    </w:p>
    <w:p>
      <w:r>
        <w:t>Extend propagation to Agent and multi-Agent execution. Preserve CONTEXT PROPAGATION ≠ PERMISSION PROPAGATION; each receiving runtime remains independently bounded by current authorization and purpose.</w:t>
      </w:r>
    </w:p>
    <w:p>
      <w:pPr>
        <w:pStyle w:val="Heading2"/>
      </w:pPr>
      <w:r>
        <w:t>125. ARGUS → Agent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126. Agent → Agent propagation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127. Agent → ARGUS result propagation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128. Tool →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129. VPF →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130. Human Review →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131. Context propagation across temporal modes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132. Context propagation across classification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133. Context propagation across Rooms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134. Context propagation across users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135. Context propagation across investigations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136. Context propagation audit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137. Chapter 16 — Context Retrieval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138. Agent retrieval interface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139. Retrieval query ≠ authority</w:t>
      </w:r>
    </w:p>
    <w:p>
      <w:r>
        <w:t>Preserve the stated governance distinction: Retrieval query ≠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140. Semantic retrieval boundary</w:t>
      </w:r>
    </w:p>
    <w:p>
      <w:r>
        <w:t>Preserve SEMANTIC SIMILARITY ≠ AUTHORITY TO DISCLOSE. Search/vector relevance never overrides authorization or Context boundaries.</w:t>
      </w:r>
    </w:p>
    <w:p>
      <w:pPr>
        <w:pStyle w:val="Heading2"/>
      </w:pPr>
      <w:r>
        <w:t>141. Agent-generated retrieval queries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142. Retrieval filtering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143. Retrieval provenance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144. Retrieval freshness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145. Retrieval failure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146. Retrieval ranking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147. Chapter 17 — Context Injection / Model Interface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148. Context injection minimization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149. System instruction separation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150. Prompt-injection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151. Agent Context and Model Gateway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152. Model route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153. Model fallback and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154. Model Context limits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155. Context truncation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156. Context compression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157. AI-generated Context summaries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158. Summary validation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159. Context contamination prevention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160. Context provenance at model invocation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161. Chapter 18 — Knowledge integration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162. Validated AI Result boundary</w:t>
      </w:r>
    </w:p>
    <w:p>
      <w:r>
        <w:t>Preserve VALIDATED AI RESULT ≠ INSTITUTIONAL KNOWLEDGE. A Validated AI Result may enter a governed Knowledge lifecycle; VPF PASS alone does not promote it.</w:t>
      </w:r>
    </w:p>
    <w:p>
      <w:pPr>
        <w:pStyle w:val="Heading2"/>
      </w:pPr>
      <w:r>
        <w:t>163. VPF PASS ≠ Knowledge promotion</w:t>
      </w:r>
    </w:p>
    <w:p>
      <w:r>
        <w:t>Preserve VPF PASS ≠ KNOWLEDGE PROMOTION. Knowledge promotion remains subject to its applicable human/governance lifecycle.</w:t>
      </w:r>
    </w:p>
    <w:p>
      <w:pPr>
        <w:pStyle w:val="Heading2"/>
      </w:pPr>
      <w:r>
        <w:t>164. Agent Result ≠ Knowledge</w:t>
      </w:r>
    </w:p>
    <w:p>
      <w:r>
        <w:t>Preserve the stated governance distinction: Agent Result ≠ Knowledge.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165. Knowledge candidate</w:t>
      </w:r>
    </w:p>
    <w:p>
      <w:r>
        <w:t>Preserve the distinction among Institutional Knowledge, AI artifacts, Evidence, and VPF state. Agent/Validated AI output does not automatically become Knowledge; retain provenance and applicable lifecycle controls.</w:t>
      </w:r>
    </w:p>
    <w:p>
      <w:pPr>
        <w:pStyle w:val="Heading2"/>
      </w:pPr>
      <w:r>
        <w:t>166. Human modification before Knowledge promotion</w:t>
      </w:r>
    </w:p>
    <w:p>
      <w:r>
        <w:t>Preserve the distinction among Institutional Knowledge, AI artifacts, Evidence, and VPF state. Agent/Validated AI output does not automatically become Knowledge; retain provenance and applicable lifecycle controls.</w:t>
      </w:r>
    </w:p>
    <w:p>
      <w:pPr>
        <w:pStyle w:val="Heading2"/>
      </w:pPr>
      <w:r>
        <w:t>167. Knowledge dependency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168. Knowledge retraction impact</w:t>
      </w:r>
    </w:p>
    <w:p>
      <w:r>
        <w:t>Preserve the distinction among Institutional Knowledge, AI artifacts, Evidence, and VPF state. Agent/Validated AI output does not automatically become Knowledge; retain provenance and applicable lifecycle controls.</w:t>
      </w:r>
    </w:p>
    <w:p>
      <w:pPr>
        <w:pStyle w:val="Heading2"/>
      </w:pPr>
      <w:r>
        <w:t>169. Historical Knowledge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170. Current Knowledge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171. Knowledge access and Agents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172. Knowledge search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173. Chapter 19 — Evidence integration</w:t>
      </w:r>
    </w:p>
    <w:p>
      <w:r>
        <w:t>Preserve AI ANALYSIS OF EVIDENCE ≠ EVIDENCE ITSELF. Underlying Evidence identity and provenance must survive AI transformation.</w:t>
      </w:r>
    </w:p>
    <w:p>
      <w:pPr>
        <w:pStyle w:val="Heading2"/>
      </w:pPr>
      <w:r>
        <w:t>174. Agent Evidence access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175. Evidence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176. Evidence transformation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177. VPF and Evidence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178. Evidence change impact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179. Evidence access revocation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180. Evidence temporal integrity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181. Evidence gap preservation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182. Evidence contradiction</w:t>
      </w:r>
    </w:p>
    <w:p>
      <w:r>
        <w:t>Preserve source Evidence identity, provenance, temporal state, access controls, and material contradictions/gaps. Agent transformations remain AI-derived unless separately governed.</w:t>
      </w:r>
    </w:p>
    <w:p>
      <w:pPr>
        <w:pStyle w:val="Heading2"/>
      </w:pPr>
      <w:r>
        <w:t>183. Chapter 20 — dependency and invalidation architecture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184. Dependency types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185. Dependency ≠ authority</w:t>
      </w:r>
    </w:p>
    <w:p>
      <w:r>
        <w:t>Preserve the stated governance distinction: Dependency ≠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186. Impact analysis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187. Revalidation trigger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188. No automatic universal invalidation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189. VPF Profile change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190. Agent Definition change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191. Model change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192. Tool change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193. Human Review change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194. Chapter 21 — retention and lifecycle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195. Ephemeral ≠ unrecorded</w:t>
      </w:r>
    </w:p>
    <w:p>
      <w:r>
        <w:t>Preserve EPHEMERAL AGENT ≠ EPHEMERAL PROVENANCE. Runtime expiry does not erase required Agent Definition, Run, Task Contract, Result, VPF, audit, or Decision-Time records.</w:t>
      </w:r>
    </w:p>
    <w:p>
      <w:pPr>
        <w:pStyle w:val="Heading2"/>
      </w:pPr>
      <w:r>
        <w:t>196. Runtime state cleanup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197. Agent Context retention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198. Validation Artifact retention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199. Qualification history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200. Promotion history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201. Engineering Change Candidate history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202. Legal hold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203. Deletion propagation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204. Deletion ≠ historical falsification</w:t>
      </w:r>
    </w:p>
    <w:p>
      <w:r>
        <w:t>Preserve the stated governance distinction: Deletion ≠ historical falsification.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205. Chapter 22 — privacy and classification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206. Agent Context classification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207. Mixed-classification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208. Sensitive Agent output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209. Inference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210. Cross-context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211. VPF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212. Qualification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213. Human Review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214. Privacy-preserving provenance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215. Chapter 23 — Search / indexing architecture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216. Search index ≠ source of truth</w:t>
      </w:r>
    </w:p>
    <w:p>
      <w:r>
        <w:t>Preserve SEARCH INDEX ≠ AUTHORITATIVE MEMORY / REGISTRY / VPF STATE. Search discovers governed objects; consequential current state resolves to authoritative sources.</w:t>
      </w:r>
    </w:p>
    <w:p>
      <w:pPr>
        <w:pStyle w:val="Heading2"/>
      </w:pPr>
      <w:r>
        <w:t>217. Agent search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218. Search result filtering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219. Search snippets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220. Historical search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221. Current-state search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222. Agent Registry search boundary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223. VPF search boundary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224. Chapter 24 — vector / semantic retrieval</w:t>
      </w:r>
    </w:p>
    <w:p>
      <w:r>
        <w:t>Extend vector/semantic retrieval safeguards to Dynamic Agent Context. Preserve SEMANTIC SIMILARITY ≠ AUTHORITY TO DISCLOSE.</w:t>
      </w:r>
    </w:p>
    <w:p>
      <w:pPr>
        <w:pStyle w:val="Heading2"/>
      </w:pPr>
      <w:r>
        <w:t>225. Embedding classification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226. Agent vector retrieval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227. Cross-tenant/user leakage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228. Cross-Room leakage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229. Cross-investigation leakage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230. Temporal leakage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231. Deleted/restricted content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232. Vector result provenance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233. Similarity ≠ corroboration</w:t>
      </w:r>
    </w:p>
    <w:p>
      <w:r>
        <w:t>Preserve the stated governance distinction: Similarity ≠ corroboration.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234. Chapter 25 — Zero-Trust Memory Access</w:t>
      </w:r>
    </w:p>
    <w:p>
      <w:r>
        <w:t>Extend Zero-Trust Memory Access to Dynamic Agents, distinguishing Human Principal, ARGUS, Agent Runtime Identity, Service Identity, and VPF/Validator Identity where applicable.</w:t>
      </w:r>
    </w:p>
    <w:p>
      <w:pPr>
        <w:pStyle w:val="Heading2"/>
      </w:pPr>
      <w:r>
        <w:t>235. Effective principal</w:t>
      </w:r>
    </w:p>
    <w:p>
      <w:r>
        <w:t>Agent Memory access remains bound to effective-principal/purpose context while using separate workload identity. Preserve DELEGATED TASK ≠ HUMAN CREDENTIAL DELEGATION.</w:t>
      </w:r>
    </w:p>
    <w:p>
      <w:pPr>
        <w:pStyle w:val="Heading2"/>
      </w:pPr>
      <w:r>
        <w:t>236. No human credential copying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237. Agent identity ≠ authority</w:t>
      </w:r>
    </w:p>
    <w:p>
      <w:r>
        <w:t>Preserve the stated governance distinction: Agent identity ≠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238. Current authorization check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239. Mid-run revocation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240. Least privilege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241. Registry state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242. Purpose binding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243. Access audit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244. Access denial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245. Context exfiltration boundary</w:t>
      </w:r>
    </w:p>
    <w:p>
      <w:r>
        <w:t>Reading Context does not authorize exporting, speaking, Tool transmission, persistence elsewhere, or disclosure to another Agent. Each downstream use remains independently governed.</w:t>
      </w:r>
    </w:p>
    <w:p>
      <w:pPr>
        <w:pStyle w:val="Heading2"/>
      </w:pPr>
      <w:r>
        <w:t>246. Tool-bound Context disclosure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247. Model-bound Context disclosure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248. Agent-to-Agent disclosure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249. VPF access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250. Validator Context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251. Human Review access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252. Administrative access</w:t>
      </w:r>
    </w:p>
    <w:p>
      <w:r>
        <w:t>Administrative/operational access to Memory infrastructure is distinct from institutional authority to read substantive content. Preserve SYSTEM ADMINISTRATION ≠ CONTENT AUTHORITY.</w:t>
      </w:r>
    </w:p>
    <w:p>
      <w:pPr>
        <w:pStyle w:val="Heading2"/>
      </w:pPr>
      <w:r>
        <w:t>253. Break-glass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254. Chapter 26 — Context Security &amp; Isolation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255. Runtime isolation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256. Context-at-rest boundary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257. Context-in-transit boundary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258. Temporary Context storage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259. Context cache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260. Context cache reuse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261. Context integrity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262. Context poisoning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263. Context contamination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264. Sensitive Context minimization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265. Context destruction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266. Chapter 27 — Voice Context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267. Voice Context ≠ identity proof</w:t>
      </w:r>
    </w:p>
    <w:p>
      <w:r>
        <w:t>Preserve VOICE CONTEXT ≠ AUTHENTICATED IDENTITY. Speaker recognition/transcription/context alone does not establish current authorization.</w:t>
      </w:r>
    </w:p>
    <w:p>
      <w:pPr>
        <w:pStyle w:val="Heading2"/>
      </w:pPr>
      <w:r>
        <w:t>268. Voice Context ≠ Agent authority</w:t>
      </w:r>
    </w:p>
    <w:p>
      <w:r>
        <w:t>Preserve the stated governance distinction: Voice Context ≠ Agent authority. Do not allow remembered state, AI-generated text, semantic relevance, migration, recovery, or implementation convenience to collapse the two states.</w:t>
      </w:r>
    </w:p>
    <w:p>
      <w:pPr>
        <w:pStyle w:val="Heading2"/>
      </w:pPr>
      <w:r>
        <w:t>269. Voice Context propagation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270. Voice transcript provenance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271. Transcript correction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272. VPF spoken-disclosure boundary</w:t>
      </w:r>
    </w:p>
    <w:p>
      <w:r>
        <w:t>Preserve VPF PASS ≠ SPOKEN-DISCLOSURE AUTHORIZATION. Retrievability from Memory does not create permission to speak sensitive content.</w:t>
      </w:r>
    </w:p>
    <w:p>
      <w:pPr>
        <w:pStyle w:val="Heading2"/>
      </w:pPr>
      <w:r>
        <w:t>273. Voice-sensitive retrieval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274. Voice Memory persistence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275. Chapter 28 — Privacy / protected identity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276. Protected identity in Agent Context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277. Derived sensitive identity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278. Cross-user identity leakage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279. Identity provenance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280. Pseudonymization/minimization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281. VPF identity exposure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282. Human Review identity exposure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283. Privacy impact propagation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284. Chapter 29 — Logical persistence architecture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285. Canonical Agent/VPF references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286. Logical persistence ≠ physical store</w:t>
      </w:r>
    </w:p>
    <w:p>
      <w:r>
        <w:t>Preserve LOGICAL ENTITY ≠ SEPARATE DATABASE. Reuse approved persistence architecture where governance and performance requirements can be met.</w:t>
      </w:r>
    </w:p>
    <w:p>
      <w:pPr>
        <w:pStyle w:val="Heading2"/>
      </w:pPr>
      <w:r>
        <w:t>287. Memory references vs canonical ownership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288. Agent Registry boundary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289. VPF state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290. Tool/model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291. Human Approval boundary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292. Artifact identity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293. Historical state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294. Current-state pointer</w:t>
      </w:r>
    </w:p>
    <w:p>
      <w:r>
        <w:t>Use the applicable authoritative current source for consequential current state. Memory, caches, search indexes, historical events, and prior successful runs do not create current eligibility or authority.</w:t>
      </w:r>
    </w:p>
    <w:p>
      <w:pPr>
        <w:pStyle w:val="Heading2"/>
      </w:pPr>
      <w:r>
        <w:t>295. Chapter 30 — Events and lifecycle propagation</w:t>
      </w:r>
    </w:p>
    <w:p>
      <w:r>
        <w:t>Apply the existing NCIE-006 architecture in this chapter to the approved Dynamic Agent/VPF context. Preserve existing Memory/Context doctrine and make only the minimum surgical consistency changes required by the current authority chain.</w:t>
      </w:r>
    </w:p>
    <w:p>
      <w:pPr>
        <w:pStyle w:val="Heading2"/>
      </w:pPr>
      <w:r>
        <w:t>296. Material Agent/VPF events</w:t>
      </w:r>
    </w:p>
    <w:p>
      <w:r>
        <w:t>Use the existing event architecture for lifecycle/impact propagation. Events trigger reconciliation where applicable but do not themselves establish current authoritative state or institutional authority.</w:t>
      </w:r>
    </w:p>
    <w:p>
      <w:pPr>
        <w:pStyle w:val="Heading2"/>
      </w:pPr>
      <w:r>
        <w:t>297. Event ≠ authority</w:t>
      </w:r>
    </w:p>
    <w:p>
      <w:r>
        <w:t>Preserve EVENT ≠ CURRENT AUTHORITATIVE STATE. Events may trigger reconciliation/impact processing but do not replace current Registry/authorization/VPF sources.</w:t>
      </w:r>
    </w:p>
    <w:p>
      <w:pPr>
        <w:pStyle w:val="Heading2"/>
      </w:pPr>
      <w:r>
        <w:t>298. Event replay</w:t>
      </w:r>
    </w:p>
    <w:p>
      <w:r>
        <w:t>Use the existing event architecture for lifecycle/impact propagation. Events trigger reconciliation where applicable but do not themselves establish current authoritative state or institutional authority.</w:t>
      </w:r>
    </w:p>
    <w:p>
      <w:pPr>
        <w:pStyle w:val="Heading2"/>
      </w:pPr>
      <w:r>
        <w:t>299. Event ordering</w:t>
      </w:r>
    </w:p>
    <w:p>
      <w:r>
        <w:t>Use the existing event architecture for lifecycle/impact propagation. Events trigger reconciliation where applicable but do not themselves establish current authoritative state or institutional authority.</w:t>
      </w:r>
    </w:p>
    <w:p>
      <w:pPr>
        <w:pStyle w:val="Heading2"/>
      </w:pPr>
      <w:r>
        <w:t>300. Duplicate events</w:t>
      </w:r>
    </w:p>
    <w:p>
      <w:r>
        <w:t>Use the existing event architecture for lifecycle/impact propagation. Events trigger reconciliation where applicable but do not themselves establish current authoritative state or institutional authority.</w:t>
      </w:r>
    </w:p>
    <w:p>
      <w:pPr>
        <w:pStyle w:val="Heading2"/>
      </w:pPr>
      <w:r>
        <w:t>301. Impact event handling</w:t>
      </w:r>
    </w:p>
    <w:p>
      <w:r>
        <w:t>Use the existing event architecture for lifecycle/impact propagation. Events trigger reconciliation where applicable but do not themselves establish current authoritative state or institutional authority.</w:t>
      </w:r>
    </w:p>
    <w:p>
      <w:pPr>
        <w:pStyle w:val="Heading2"/>
      </w:pPr>
      <w:r>
        <w:t>302. Context invalidation event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303. Historical event retention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304. Chapter 31 — Observability and audit</w:t>
      </w:r>
    </w:p>
    <w:p>
      <w:r>
        <w:t>Extend observability/audit to Agent Context and VPF-related Memory interactions. Preserve TELEMETRY ≠ AUDIT ≠ PROVENANCE.</w:t>
      </w:r>
    </w:p>
    <w:p>
      <w:pPr>
        <w:pStyle w:val="Heading2"/>
      </w:pPr>
      <w:r>
        <w:t>305. Agent Context telemetry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306. Telemetry privacy</w:t>
      </w:r>
    </w:p>
    <w:p>
      <w:r>
        <w:t>Apply current authorization, purpose, classification, minimum-necessary scope, and isolation. Dynamic Agent/VPF capability must not broaden access, disclosure, or protected-identity exposure.</w:t>
      </w:r>
    </w:p>
    <w:p>
      <w:pPr>
        <w:pStyle w:val="Heading2"/>
      </w:pPr>
      <w:r>
        <w:t>307. Agent Context audit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308. VPF provenance audit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309. Human modification audit</w:t>
      </w:r>
    </w:p>
    <w:p>
      <w:r>
        <w:t>Preserve sufficient governed provenance/audit for traceability and Decision-Time reconstruction without storing private chain-of-thought or unnecessarily duplicating sensitive payloads.</w:t>
      </w:r>
    </w:p>
    <w:p>
      <w:pPr>
        <w:pStyle w:val="Heading2"/>
      </w:pPr>
      <w:r>
        <w:t>310. Decision-Time audit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311. Search/retrieval audit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312. Context leakage monitoring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313. Context quality observability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314. Chapter 32 — resilience, backup and recovery</w:t>
      </w:r>
    </w:p>
    <w:p>
      <w:r>
        <w:t>Extend resilience/recovery to Agent Context and VPF-related historical state. Preserve RECOVERY ≠ REAUTHORIZATION.</w:t>
      </w:r>
    </w:p>
    <w:p>
      <w:pPr>
        <w:pStyle w:val="Heading2"/>
      </w:pPr>
      <w:r>
        <w:t>315. Restored Memory ≠ current authority</w:t>
      </w:r>
    </w:p>
    <w:p>
      <w:r>
        <w:t>A restored backup may contain historical authorization, Agent eligibility, Tool/model eligibility, or VPF Profile state. None becomes current merely because the backup was restored.</w:t>
      </w:r>
    </w:p>
    <w:p>
      <w:pPr>
        <w:pStyle w:val="Heading2"/>
      </w:pPr>
      <w:r>
        <w:t>316. Post-restore reconciliation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317. Expired Agent Context after restore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318. Suspended/retired Agent after restore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319. Obsolete VPF state after restore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320. Historical Validation Artifacts after restore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321. Decision-Time recovery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322. Context cache recovery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323. Vector index recovery</w:t>
      </w:r>
    </w:p>
    <w:p>
      <w:r>
        <w:t>Keep retrieval bounded by authorization, purpose, classification, Room/Investigation/User scope, and temporal mode. Relevance or similarity never overrides disclosure authority; preserve source provenance.</w:t>
      </w:r>
    </w:p>
    <w:p>
      <w:pPr>
        <w:pStyle w:val="Heading2"/>
      </w:pPr>
      <w:r>
        <w:t>324. Event recovery</w:t>
      </w:r>
    </w:p>
    <w:p>
      <w:r>
        <w:t>Preserve historical integrity while reconciling current authoritative state. Do not reactivate stale authorization, expired Agent Context, ineligible Agents/Models/Tools, or obsolete VPF state.</w:t>
      </w:r>
    </w:p>
    <w:p>
      <w:pPr>
        <w:pStyle w:val="Heading2"/>
      </w:pPr>
      <w:r>
        <w:t>325. Partial availability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326. Agent Context degraded mode</w:t>
      </w:r>
    </w:p>
    <w:p>
      <w:r>
        <w:t>Keep Context task-/purpose-/authorization-bounded, minimum necessary, classified, temporally correct, isolated, and provenance-bearing. Context availability does not create additional authority.</w:t>
      </w:r>
    </w:p>
    <w:p>
      <w:pPr>
        <w:pStyle w:val="Heading2"/>
      </w:pPr>
      <w:r>
        <w:t>327. Decision-Time degraded mode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pPr>
        <w:pStyle w:val="Heading2"/>
      </w:pPr>
      <w:r>
        <w:t>328. VPF dependency degraded mode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329. Deterministic continuity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330. Chapter 33 — migration and interoperability</w:t>
      </w:r>
    </w:p>
    <w:p>
      <w:r>
        <w:t>Extend migration/interoperability to Agent/VPF-related Memory references and Context semantics. Migration must not rewrite institutional history.</w:t>
      </w:r>
    </w:p>
    <w:p>
      <w:pPr>
        <w:pStyle w:val="Heading2"/>
      </w:pPr>
      <w:r>
        <w:t>331. Canonical portability</w:t>
      </w:r>
    </w:p>
    <w:p>
      <w:r>
        <w:t>Preserve the existing NCIE-006 semantics and extend them only as required for approved Dynamic Agent/VPF consistency. Maintain current authorization, provenance, temporal integrity, Human-Primary authority, and the separation between Memory, Context, Evidence, Knowledge, AI artifacts, validation state, and institutional decisions.</w:t>
      </w:r>
    </w:p>
    <w:p>
      <w:pPr>
        <w:pStyle w:val="Heading2"/>
      </w:pPr>
      <w:r>
        <w:t>332. Migration ≠ approval</w:t>
      </w:r>
    </w:p>
    <w:p>
      <w:r>
        <w:t>Preserve MIGRATED / IMPORTED ≠ APPROVED / ELIGIBLE. Imported Agent/VPF records require applicable integrity/lifecycle reconciliation.</w:t>
      </w:r>
    </w:p>
    <w:p>
      <w:pPr>
        <w:pStyle w:val="Heading2"/>
      </w:pPr>
      <w:r>
        <w:t>333. Historical interpretability</w:t>
      </w:r>
    </w:p>
    <w:p>
      <w:r>
        <w:t>Preserve historical temporal integrity and the state actually available at the applicable cutoff. Later Agent, Evidence, Knowledge, Tool, model, authorization, or VPF state must not silently contaminate the historical view.</w:t>
      </w:r>
    </w:p>
    <w:p>
      <w:r>
        <w:br w:type="page"/>
      </w:r>
    </w:p>
    <w:p>
      <w:pPr>
        <w:pStyle w:val="Heading1"/>
      </w:pPr>
      <w:r>
        <w:t>Supplement integrity and insertion control</w:t>
      </w:r>
    </w:p>
    <w:p>
      <w:r>
        <w:t>Supplement numbered range: 62–333 inclusive. Expected numbered items: 272. Item 62 is the sole operator-authorized source-grounded reconstruction.</w:t>
      </w:r>
    </w:p>
    <w:p>
      <w:r>
        <w:t>Insert this block after item 61 and before the existing item 334. After assembly, verify the consolidated directive contains items 1–500 exactly once, with no missing/duplicate/truncated items and with 36/36 NCIE-006 chapters covered.</w:t>
      </w:r>
    </w:p>
    <w:p>
      <w:r>
        <w:t>NCIE-006 v1.1 remains the current baseline. NCIE-006 v1.2 remains IN DEVELOPMENT / FOR HUMAN REVIEW until separately approved.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