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NCIE-006 v1.1 → v1.2</w:t>
      </w:r>
    </w:p>
    <w:p>
      <w:pPr>
        <w:spacing w:after="120"/>
        <w:jc w:val="center"/>
      </w:pPr>
      <w:r>
        <w:rPr>
          <w:b/>
          <w:bCs/>
          <w:sz w:val="28"/>
          <w:szCs w:val="28"/>
        </w:rPr>
        <w:t xml:space="preserve">Amendment Verification Report</w:t>
      </w:r>
    </w:p>
    <w:p>
      <w:pPr>
        <w:spacing w:after="280"/>
        <w:jc w:val="center"/>
      </w:pPr>
      <w:r>
        <w:rPr>
          <w:i/>
          <w:iCs/>
          <w:sz w:val="20"/>
          <w:szCs w:val="20"/>
        </w:rPr>
        <w:t xml:space="preserve">VPF &amp; Dynamic Agent Context Surgical Consistency Amendment — IN DEVELOPMENT / FOR HUMAN REVIEW</w:t>
      </w:r>
    </w:p>
    <w:p>
      <w:pPr>
        <w:spacing w:after="80" w:before="200"/>
      </w:pPr>
      <w:r>
        <w:rPr>
          <w:b/>
          <w:bCs/>
          <w:sz w:val="22"/>
          <w:szCs w:val="22"/>
        </w:rPr>
        <w:t xml:space="preserve">1. Scope Verification</w:t>
      </w:r>
    </w:p>
    <w:p>
      <w:pPr>
        <w:spacing w:after="120"/>
      </w:pPr>
      <w:r>
        <w:rPr>
          <w:sz w:val="20"/>
          <w:szCs w:val="20"/>
        </w:rPr>
        <w:t xml:space="preserve">Substantive amendments are confined to Chapters 1, 2, 3, 4, 5, 11, 14, 15, 17, 18, 22, 25, 26, 27, 28, 29, 30, 31, 32, 33, 34, 35 and 36, plus front matter and the running header. Chapters 6-10 and 12-13 are covered by Ch.5's and Ch.11's consolidated statements respectively rather than individual edits, since the directive's own content for those clusters is a single repeated principle applied identically across each chapter group. Chapters 16, 19, 20, 21, 23, 24 were reviewed and required no substantive change.</w:t>
      </w:r>
    </w:p>
    <w:p>
      <w:pPr>
        <w:spacing w:after="80" w:before="200"/>
      </w:pPr>
      <w:r>
        <w:rPr>
          <w:b/>
          <w:bCs/>
          <w:sz w:val="22"/>
          <w:szCs w:val="22"/>
        </w:rPr>
        <w:t xml:space="preserve">2. 36-Chapter Verification</w:t>
      </w:r>
    </w:p>
    <w:p>
      <w:pPr>
        <w:spacing w:after="120"/>
      </w:pPr>
      <w:r>
        <w:rPr>
          <w:sz w:val="20"/>
          <w:szCs w:val="20"/>
        </w:rPr>
        <w:t xml:space="preserve">A programmatic heading scan confirms all 36 chapters present in original order (regex match on 'NCIE-006 — Chapter N Expansion', N = 1..36, each found exactly once). No chapter was added, removed, duplicated or renumbered. New subsections use the next available decimal within each amended chapter's existing numbering.</w:t>
      </w:r>
    </w:p>
    <w:p>
      <w:pPr>
        <w:spacing w:after="80" w:before="200"/>
      </w:pPr>
      <w:r>
        <w:rPr>
          <w:b/>
          <w:bCs/>
          <w:sz w:val="22"/>
          <w:szCs w:val="22"/>
        </w:rPr>
        <w:t xml:space="preserve">3. Directive Chapter-Mapping Correction (Substantive Diff Verification, part 1)</w:t>
      </w:r>
    </w:p>
    <w:p>
      <w:pPr>
        <w:spacing w:after="120"/>
      </w:pPr>
      <w:r>
        <w:rPr>
          <w:sz w:val="20"/>
          <w:szCs w:val="20"/>
        </w:rPr>
        <w:t xml:space="preserve">Before applying content, each directive item cluster's chapter-number label was checked against this document's actual chapter titles (extracted directly from the source document, not assumed). Several supplementary-directive clusters (items 62-333) named a chapter topic that does not match the real chapter at that number: the directive's 'Chapter 16 — Retrieval' cluster (items 50-53, 137-146) does not match real Ch.16 'Private, Shared &amp; Institutional Context Boundaries' — it was applied to real Ch.17 'ARGUS Memory Retrieval Interface' instead, which is the actual retrieval-interface chapter. Similarly 'Chapter 19 — Evidence integration' (items 173-182) does not match real Ch.19 'Knowledge Versioning' — no real chapter is dedicated to Evidence integration by name, so its single genuinely NCIE-006-relevant statement (AI ANALYSIS OF EVIDENCE ≠ EVIDENCE ITSELF) was folded into Ch.2's doctrine-level invariants (§2.4), consistent with Ch.2's role as the chapter that states cross-cutting epistemic boundaries once. 'Chapter 20 — dependency and invalidation architecture' (items 183-193) matches real Ch.22 'Dependency Graph &amp; Downstream Impact Tracking' more precisely than real Ch.20 'Knowledge Challenge, Contradiction &amp; Impact Analysis' and was placed there. 'Chapter 21 — retention and lifecycle' (items 194-204) matches real Ch.28 'Retention, Legal Hold, Archival &amp; Secure Disposition' and was placed there, not real Ch.21 'Knowledge Graph Context'. 'Chapter 22 — privacy and classification' (items 205-214), 'Chapter 26 — Context Security &amp; Isolation' (items 254-265), 'Chapter 27 — Voice Context' (items 266-274) and 'Chapter 28 — Privacy/protected identity' (items 275-283) were all placed in real Ch.25 (Zero-Trust/security) and Ch.26 (Sensitive Memory, Protected Identity &amp; Voice Context — whose actual title covers exactly these three topics), not the directive's mismatched chapter numbers. 'Chapter 31 — Observability and audit' (items 304-313) was split: telemetry/observability-specific items stayed in real Ch.31 'Scalability, Tiering, Performance &amp; Observability'; audit-specific items (Agent Context audit, VPF provenance audit, human-modification audit) were placed in real Ch.27 'Memory Provenance, Attribution &amp; Audit', which is the actual audit chapter. This is recorded as a DIRECT SURGICAL CONSISTENCY CORRECTION to the directive's own chapter references (per directive §1029/§631's contradiction-correction rule), not a change to NCIE-006's locked chapter structure — every real chapter number and title is unchanged from v1.1.</w:t>
      </w:r>
    </w:p>
    <w:p>
      <w:pPr>
        <w:spacing w:after="80" w:before="200"/>
      </w:pPr>
      <w:r>
        <w:rPr>
          <w:b/>
          <w:bCs/>
          <w:sz w:val="22"/>
          <w:szCs w:val="22"/>
        </w:rPr>
        <w:t xml:space="preserve">4. Substantive Diff Verification, part 2</w:t>
      </w:r>
    </w:p>
    <w:p>
      <w:pPr>
        <w:spacing w:after="120"/>
      </w:pPr>
      <w:r>
        <w:rPr>
          <w:sz w:val="20"/>
          <w:szCs w:val="20"/>
        </w:rPr>
        <w:t xml:space="preserve">A paragraph-level diff confirms: 3 new terms added to Chapter 2's Table 2 (Agent Context, Agent Task Context, Agent Run Context); 26 new prose subsections across the 22 amended body chapters; 4 new Human Review Register rows (Chapter 35, Table 17) inserted in correct chapter order; 23 traceability-matrix rows extended in place (Chapter 36, Table 18); and front-matter/governance/running-header corrections. No paragraph or table outside these locations was altered.</w:t>
      </w:r>
    </w:p>
    <w:p>
      <w:pPr>
        <w:spacing w:after="80" w:before="200"/>
      </w:pPr>
      <w:r>
        <w:rPr>
          <w:b/>
          <w:bCs/>
          <w:sz w:val="22"/>
          <w:szCs w:val="22"/>
        </w:rPr>
        <w:t xml:space="preserve">5. Agent Context Status</w:t>
      </w:r>
    </w:p>
    <w:p>
      <w:pPr>
        <w:spacing w:after="120"/>
      </w:pPr>
      <w:r>
        <w:rPr>
          <w:sz w:val="20"/>
          <w:szCs w:val="20"/>
        </w:rPr>
        <w:t xml:space="preserve">Chapter 2 §2.4 and Chapter 4 §4.4 establish Agent Context as a governed task/run-scoped assembly (Table 2), not a new authority source, institutional Memory tier, permission container or permanent Agent-owned Memory. Chapter 14 §14.2 defines assembly inputs and the exact-Run-attributability requirement; Chapter 15 §15.2 defines propagation/delegation bounding; Chapter 25 §25.4-§25.5 define Zero-Trust access and exfiltration boundaries. AGENT CONTEXT ≠ AGENT AUTHORITY and CONTEXT SELECTION ≠ TASK AUTHORIZATION are both stated and consistently preserved wherever Agent Context is discussed.</w:t>
      </w:r>
    </w:p>
    <w:p>
      <w:pPr>
        <w:spacing w:after="80" w:before="200"/>
      </w:pPr>
      <w:r>
        <w:rPr>
          <w:b/>
          <w:bCs/>
          <w:sz w:val="22"/>
          <w:szCs w:val="22"/>
        </w:rPr>
        <w:t xml:space="preserve">6. VPF / Validated-AI Memory Status</w:t>
      </w:r>
    </w:p>
    <w:p>
      <w:pPr>
        <w:spacing w:after="120"/>
      </w:pPr>
      <w:r>
        <w:rPr>
          <w:sz w:val="20"/>
          <w:szCs w:val="20"/>
        </w:rPr>
        <w:t xml:space="preserve">Chapter 2 §2.4, Chapter 18 §18.4 and Chapter 36 §36.6 consistently state VALIDATED AI RESULT ≠ INSTITUTIONAL KNOWLEDGE and VPF PASS ≠ KNOWLEDGE PROMOTION. Chapter 18 §18.4 additionally requires Knowledge Candidate provenance (Source Evidence, AI Artifact, Agent Run, VPF Validation, Human Promotion/Review) to remain distinct, and requires human-modified artifacts to be distinguished from the original with applicable revalidation before being represented as currently validated — no occurrence in the amended text allows a VPF-PASS artifact to silently become Institutional Knowledge or retain its original validation state after material human modification.</w:t>
      </w:r>
    </w:p>
    <w:p>
      <w:pPr>
        <w:spacing w:after="80" w:before="200"/>
      </w:pPr>
      <w:r>
        <w:rPr>
          <w:b/>
          <w:bCs/>
          <w:sz w:val="22"/>
          <w:szCs w:val="22"/>
        </w:rPr>
        <w:t xml:space="preserve">7. Decision-Time Status</w:t>
      </w:r>
    </w:p>
    <w:p>
      <w:pPr>
        <w:spacing w:after="120"/>
      </w:pPr>
      <w:r>
        <w:rPr>
          <w:sz w:val="20"/>
          <w:szCs w:val="20"/>
        </w:rPr>
        <w:t xml:space="preserve">Chapter 11 §11.3 requires historical Decision-Time reconstruction (Ch.12) to use the actual Agent Definition Version, Agent Run, Task Contract, Context, Model Route, Tool Outcomes, Agent Result and VPF State available at the historical cutoff, explicitly prohibiting later Agent Registration/Promotion/Evaluation/Restriction/Retirement or later VPF revalidation from rewriting what was true at the cutoff. This is consistent with Chapter 36 §36.6's acceptance statement and was not contradicted anywhere else in the amended text.</w:t>
      </w:r>
    </w:p>
    <w:p>
      <w:pPr>
        <w:spacing w:after="80" w:before="200"/>
      </w:pPr>
      <w:r>
        <w:rPr>
          <w:b/>
          <w:bCs/>
          <w:sz w:val="22"/>
          <w:szCs w:val="22"/>
        </w:rPr>
        <w:t xml:space="preserve">8. Current-State Reconciliation Status</w:t>
      </w:r>
    </w:p>
    <w:p>
      <w:pPr>
        <w:spacing w:after="120"/>
      </w:pPr>
      <w:r>
        <w:rPr>
          <w:sz w:val="20"/>
          <w:szCs w:val="20"/>
        </w:rPr>
        <w:t xml:space="preserve">Chapter 11 §11.3 (covering Ch.13) and Chapter 2 §2.4 both state MEMORY ≠ CURRENT TRUTH / HISTORICAL AGENT-VPF STATE ≠ CURRENT ELIGIBILITY: consequential current-state resolution uses authoritative current Authorization, Agent Eligibility, Model Eligibility, Tool Eligibility and VPF Profile/Validator State, never remembered Memory. Chapter 32 §32.3 extends the identical principle to post-restore reconciliation (RECOVERY ≠ REAUTHORIZATION).</w:t>
      </w:r>
    </w:p>
    <w:p>
      <w:pPr>
        <w:spacing w:after="80" w:before="200"/>
      </w:pPr>
      <w:r>
        <w:rPr>
          <w:b/>
          <w:bCs/>
          <w:sz w:val="22"/>
          <w:szCs w:val="22"/>
        </w:rPr>
        <w:t xml:space="preserve">9. Search / Semantic Retrieval Status</w:t>
      </w:r>
    </w:p>
    <w:p>
      <w:pPr>
        <w:spacing w:after="120"/>
      </w:pPr>
      <w:r>
        <w:rPr>
          <w:sz w:val="20"/>
          <w:szCs w:val="20"/>
        </w:rPr>
        <w:t xml:space="preserve">Chapter 17 §17.3 (real ARGUS Memory Retrieval Interface chapter) states RETRIEVABLE ≠ AUTHORIZED TO DISCLOSE and requires retrieved AI artifacts to preserve AI Origin/Agent Origin/VPF State/Qualification/Human Modification State without being surfaced as source Evidence. Chapter 2 §2.4 states SEMANTIC RETRIEVAL ≠ AUTHORITY TO DISCLOSE as a cross-cutting doctrine invariant. No amendment weakens the existing real-Ch.16 Private/Shared/Institutional boundary or real-Ch.23/24 Search/Vector chapters, which were reviewed and required no change (their existing architecture already satisfies the current authority chain).</w:t>
      </w:r>
    </w:p>
    <w:p>
      <w:pPr>
        <w:spacing w:after="80" w:before="200"/>
      </w:pPr>
      <w:r>
        <w:rPr>
          <w:b/>
          <w:bCs/>
          <w:sz w:val="22"/>
          <w:szCs w:val="22"/>
        </w:rPr>
        <w:t xml:space="preserve">10. Recovery Status</w:t>
      </w:r>
    </w:p>
    <w:p>
      <w:pPr>
        <w:spacing w:after="120"/>
      </w:pPr>
      <w:r>
        <w:rPr>
          <w:sz w:val="20"/>
          <w:szCs w:val="20"/>
        </w:rPr>
        <w:t xml:space="preserve">Chapter 32 §32.3 requires post-restore reconciliation of Agent Context (expired stays expired), Agent eligibility (current Registry state prevails over backup-era state), VPF state (obsolete/suspended Profiles do not reactivate) and vector/search index state (current deletion/restriction/classification/authorization respected before ordinary retrieval resumes), while preserving deterministic continuity when Agent/VPF integration is degraded. RECOVERY ≠ REAUTHORIZATION is stated in Ch.2 §2.4, Ch.32 §32.3 and Ch.36 §36.6 consistently.</w:t>
      </w:r>
    </w:p>
    <w:p>
      <w:pPr>
        <w:spacing w:after="80" w:before="200"/>
      </w:pPr>
      <w:r>
        <w:rPr>
          <w:b/>
          <w:bCs/>
          <w:sz w:val="22"/>
          <w:szCs w:val="22"/>
        </w:rPr>
        <w:t xml:space="preserve">11. Evidence and Knowledge Boundary Verification</w:t>
      </w:r>
    </w:p>
    <w:p>
      <w:pPr>
        <w:spacing w:after="120"/>
      </w:pPr>
      <w:r>
        <w:rPr>
          <w:sz w:val="20"/>
          <w:szCs w:val="20"/>
        </w:rPr>
        <w:t xml:space="preserve">AI ANALYSIS OF EVIDENCE ≠ EVIDENCE ITSELF (Ch.2 §2.4, folded from the directive's mismatched 'Evidence integration' cluster per item 3 above) and the existing Ch.2 §2.1 Evidence/Knowledge/Rule definitions are preserved unchanged. VALIDATED AI RESULT ≠ INSTITUTIONAL KNOWLEDGE and VPF PASS ≠ KNOWLEDGE PROMOTION are consistently stated in Ch.2, Ch.18 and Ch.36 with no contradicting occurrence found.</w:t>
      </w:r>
    </w:p>
    <w:p>
      <w:pPr>
        <w:spacing w:after="80" w:before="200"/>
      </w:pPr>
      <w:r>
        <w:rPr>
          <w:b/>
          <w:bCs/>
          <w:sz w:val="22"/>
          <w:szCs w:val="22"/>
        </w:rPr>
        <w:t xml:space="preserve">12. Dependency and Retention Verification</w:t>
      </w:r>
    </w:p>
    <w:p>
      <w:pPr>
        <w:spacing w:after="120"/>
      </w:pPr>
      <w:r>
        <w:rPr>
          <w:sz w:val="20"/>
          <w:szCs w:val="20"/>
        </w:rPr>
        <w:t xml:space="preserve">Chapter 22 §22.4 (real Dependency Graph &amp; Downstream Impact Tracking chapter) states DEPENDENCY ≠ AUTHORITY and requires targeted, not universal, invalidation on Evidence/Knowledge/Agent Definition/Model/Tool/Context/VPF Profile change. Chapter 28 §28.4 (real Retention, Legal Hold, Archival &amp; Secure Disposition chapter) states EPHEMERAL AGENT ≠ EPHEMERAL PROVENANCE and DELETION ≠ HISTORICAL FALSIFICATION, requiring Agent Definition/Run/Task Contract/Result/VPF/audit/Decision-Time records to survive Ephemeral Agent expiry.</w:t>
      </w:r>
    </w:p>
    <w:p>
      <w:pPr>
        <w:spacing w:after="80" w:before="200"/>
      </w:pPr>
      <w:r>
        <w:rPr>
          <w:b/>
          <w:bCs/>
          <w:sz w:val="22"/>
          <w:szCs w:val="22"/>
        </w:rPr>
        <w:t xml:space="preserve">13. Zero-Trust, Security and Voice Verification</w:t>
      </w:r>
    </w:p>
    <w:p>
      <w:pPr>
        <w:spacing w:after="120"/>
      </w:pPr>
      <w:r>
        <w:rPr>
          <w:sz w:val="20"/>
          <w:szCs w:val="20"/>
        </w:rPr>
        <w:t xml:space="preserve">Chapter 25 §25.4-§25.5 (real Memory Security, Authorization &amp; Zero-Trust chapter) extend Zero-Trust access to Agent Runtime Identity (DELEGATED TASK ≠ HUMAN CREDENTIAL DELEGATION) and state the CONTEXT EXFILTRATION BOUNDARY and SYSTEM ADMINISTRATION ≠ CONTENT AUTHORITY. Chapter 26 §26.3-§26.4 (real Sensitive Memory, Protected Identity &amp; Voice Context chapter — the actual home for these topics) state VOICE CONTEXT ≠ AUTHENTICATED IDENTITY and VPF PASS ≠ SPOKEN-DISCLOSURE AUTHORIZATION consistent with NCIE-005 v1.3's own voice boundary, applied identically regardless of Agent origin.</w:t>
      </w:r>
    </w:p>
    <w:p>
      <w:pPr>
        <w:spacing w:after="80" w:before="200"/>
      </w:pPr>
      <w:r>
        <w:rPr>
          <w:b/>
          <w:bCs/>
          <w:sz w:val="22"/>
          <w:szCs w:val="22"/>
        </w:rPr>
        <w:t xml:space="preserve">14. Provenance and Audit Verification</w:t>
      </w:r>
    </w:p>
    <w:p>
      <w:pPr>
        <w:spacing w:after="120"/>
      </w:pPr>
      <w:r>
        <w:rPr>
          <w:sz w:val="20"/>
          <w:szCs w:val="20"/>
        </w:rPr>
        <w:t xml:space="preserve">Chapter 27 §27.3 (real Memory Provenance, Attribution &amp; Audit chapter — the actual home for audit-specific content) requires end-to-end reconstruction from Request through Context Assembly, Agent Run, Dependencies, Model/Tool Provenance, Agent Result, VPF Validation, ARGUS Presentation to Human Decision/Modification without private chain-of-thought, and restates TELEMETRY ≠ AUDIT ≠ PROVENANCE. Chapter 31 §31.3 (real Scalability/Performance/Observability chapter) confines itself to telemetry/observability specifically, avoiding duplication with Ch.27's audit content.</w:t>
      </w:r>
    </w:p>
    <w:p>
      <w:pPr>
        <w:spacing w:after="80" w:before="200"/>
      </w:pPr>
      <w:r>
        <w:rPr>
          <w:b/>
          <w:bCs/>
          <w:sz w:val="22"/>
          <w:szCs w:val="22"/>
        </w:rPr>
        <w:t xml:space="preserve">15. Storage, Events and Migration Verification</w:t>
      </w:r>
    </w:p>
    <w:p>
      <w:pPr>
        <w:spacing w:after="120"/>
      </w:pPr>
      <w:r>
        <w:rPr>
          <w:sz w:val="20"/>
          <w:szCs w:val="20"/>
        </w:rPr>
        <w:t xml:space="preserve">Chapter 29 §29.3 states LOGICAL ENTITY ≠ SEPARATE DATABASE for Agent/VPF canonical references, reusing NCIE-004 v1.2's already-approved persistence architecture (Ch.33 §33.4's reuse-first review) rather than proposing new storage. Chapter 30 §30.3 states EVENT ≠ CURRENT AUTHORITATIVE STATE. Chapter 33 §33.3 states PROVIDER MEMORY ≠ NCIE INSTITUTIONAL MEMORY and MIGRATED / IMPORTED ≠ APPROVED / ELIGIBLE, requiring migration to report rather than fabricate missing historical metadata.</w:t>
      </w:r>
    </w:p>
    <w:p>
      <w:pPr>
        <w:spacing w:after="80" w:before="200"/>
      </w:pPr>
      <w:r>
        <w:rPr>
          <w:b/>
          <w:bCs/>
          <w:sz w:val="22"/>
          <w:szCs w:val="22"/>
        </w:rPr>
        <w:t xml:space="preserve">16. Testing / Acceptance Verification</w:t>
      </w:r>
    </w:p>
    <w:p>
      <w:pPr>
        <w:spacing w:after="120"/>
      </w:pPr>
      <w:r>
        <w:rPr>
          <w:sz w:val="20"/>
          <w:szCs w:val="20"/>
        </w:rPr>
        <w:t xml:space="preserve">Chapter 34 §34.3 specifies the minimum Agent/VPF Memory/Context test catalogue (16 scenario classes: Agent Context isolation across Agents/users/Rooms/Investigations, minimum-necessary assembly, current/remembered authorization, Agent expiry, Result-vs-Knowledge distinction, dependency-impact, Decision-Time historical-state-only reconstruction, current-state reconciliation, semantic-similarity/deleted-embedding disclosure, prompt injection, voice/spoken-disclosure, human-modification, multi-Agent/child-Agent isolation, cross-task cache authorization, recovery), explicitly stating TEST SPECIFIED ≠ TEST EXECUTED — no test is marked passed without implementation evidence.</w:t>
      </w:r>
    </w:p>
    <w:p>
      <w:pPr>
        <w:spacing w:after="80" w:before="200"/>
      </w:pPr>
      <w:r>
        <w:rPr>
          <w:b/>
          <w:bCs/>
          <w:sz w:val="22"/>
          <w:szCs w:val="22"/>
        </w:rPr>
        <w:t xml:space="preserve">17. Human Review Register Reconciliation</w:t>
      </w:r>
    </w:p>
    <w:p>
      <w:pPr>
        <w:spacing w:after="120"/>
      </w:pPr>
      <w:r>
        <w:rPr>
          <w:sz w:val="20"/>
          <w:szCs w:val="20"/>
        </w:rPr>
        <w:t xml:space="preserve">Chapter 35's register (Table 17) was mechanically re-extracted from the final document: 20 total items (1 Resolved by Upstream Baseline / 2 Proposed Design Default / 9 Institutional Confirmation Required / 2 Source/Workflow Discovery Required / 4 Legal/Policy Confirmation Required / 2 Security/Sovereignty Confirmation Required), 17 Blocking / 3 Non-Blocking — recomputed programmatically from final table cell content, not hand-counted. Table 16's summary was verified to match Table 17 exactly, preserving the same build-time-generated-together relationship the v1.1 document's §35.4 already established. Arithmetic reconciles: 16 (v1.1) + 4 added (HR6-4-2, HR6-18-2, HR6-22-1, HR6-33-2) − 0 removed = 20 (v1.2). No existing item was silently resolved, merged or deleted.</w:t>
      </w:r>
    </w:p>
    <w:p>
      <w:pPr>
        <w:spacing w:after="80" w:before="200"/>
      </w:pPr>
      <w:r>
        <w:rPr>
          <w:b/>
          <w:bCs/>
          <w:sz w:val="22"/>
          <w:szCs w:val="22"/>
        </w:rPr>
        <w:t xml:space="preserve">18. Traceability Verification</w:t>
      </w:r>
    </w:p>
    <w:p>
      <w:pPr>
        <w:spacing w:after="120"/>
      </w:pPr>
      <w:r>
        <w:rPr>
          <w:sz w:val="20"/>
          <w:szCs w:val="20"/>
        </w:rPr>
        <w:t xml:space="preserve">Chapter 36's Table 18 traceability matrix was extended (not replaced) for the 23 rows corresponding to every amended chapter, each now citing its applicable NCIE-003 v0.4 / NCIE-004 v1.2 / NCIE-005 v1.3 / NCIE-007 v1.1 dependency alongside its pre-existing citation. New §36.5 states the complete current authority chain including NCIE-007 v1.1 (previously absent from this document, which predates NCIE-007 as a separate specification) and explicitly disclaims the v1.1 document's own citations to older upstream versions as current. No orphan Agent/VPF Memory/Context requirement was found without a citation to at least one current approved authority.</w:t>
      </w:r>
    </w:p>
    <w:p>
      <w:pPr>
        <w:spacing w:after="80" w:before="200"/>
      </w:pPr>
      <w:r>
        <w:rPr>
          <w:b/>
          <w:bCs/>
          <w:sz w:val="22"/>
          <w:szCs w:val="22"/>
        </w:rPr>
        <w:t xml:space="preserve">19. Version &amp; Document-Control Verification</w:t>
      </w:r>
    </w:p>
    <w:p>
      <w:pPr>
        <w:spacing w:after="120"/>
      </w:pPr>
      <w:r>
        <w:rPr>
          <w:sz w:val="20"/>
          <w:szCs w:val="20"/>
        </w:rPr>
        <w:t xml:space="preserve">Cover: confirmed reading 'Traces to approved NCIE-002 v0.5 ... approved NCIE-003 v0.4 ... approved NCIE-004 v1.2 ... approved NCIE-005 v1.3 ... and approved NCIE-007 v1.1' — no stale v0.4/v0.3/v1.1/v1.2-as-current reference remains. Document Governance table: Edition, Requirements/Architecture/Canonical-data/Engineering/ARGUS-behavioral authorities, new Orchestration authority, new Prior baseline, and Status rows all confirmed by reading final table cell content programmatically — all show v1.2/v1.3/v0.5/v0.4/v1.2/v1.3/v1.1 as applicable. Filename: NCIE-006_Memory_Context_Architecture_Specification_v1_2_IN_DEVELOPMENT.docx — confirmed. Supersedes/Prior baseline: correctly identifies the actual full NCIE-006 v1.1 (IN DEVELOPMENT — FOR HUMAN REVIEW) document. Status: IN DEVELOPMENT — FOR HUMAN REVIEW OF SURGICAL AMENDMENT (not Approved) — confirmed.</w:t>
      </w:r>
    </w:p>
    <w:p>
      <w:pPr>
        <w:spacing w:after="80" w:before="200"/>
      </w:pPr>
      <w:r>
        <w:rPr>
          <w:b/>
          <w:bCs/>
          <w:sz w:val="22"/>
          <w:szCs w:val="22"/>
        </w:rPr>
        <w:t xml:space="preserve">20. Running Header — Page-Level Version Scan</w:t>
      </w:r>
    </w:p>
    <w:p>
      <w:pPr>
        <w:spacing w:after="120"/>
      </w:pPr>
      <w:r>
        <w:rPr>
          <w:sz w:val="20"/>
          <w:szCs w:val="20"/>
        </w:rPr>
        <w:t xml:space="preserve">Having encountered this exact defect class on the two most recent amendments in this series (NCIE-004, NCIE-005), this check was performed proactively before claiming completion. After all substantive chapter amendments and front-matter/governance corrections were applied, the running header (word/header1.xml, a document part untouched by body-text edits) was inspected directly via python-docx and found to read 'NCIE-006 | MEMORY &amp; CONTEXT ARCHITECTURE SPECIFICATION | VERSION 1.1'. The header run was corrected to VERSION 1.2, the document was rendered to PDF via Microsoft Word (59 pages), and a full page-level text scan of the rendered output found the string 'NCIE-006 | MEMORY &amp; CONTEXT ARCHITECTURE SPECIFICATION | VERSION 1.2' as the sole variant present across all 59 pages, with zero occurrences of VERSION 1.1. Required final stale count: 0 — confirmed.</w:t>
      </w:r>
    </w:p>
    <w:p>
      <w:pPr>
        <w:spacing w:after="120"/>
      </w:pPr>
      <w:r>
        <w:rPr>
          <w:sz w:val="20"/>
          <w:szCs w:val="20"/>
        </w:rPr>
        <w:t xml:space="preserve">Unlike the NCIE-004 and NCIE-005 amendments, this document's Document Governance table Edition field already correctly read 'Version 1.1' before this amendment began (matching its cover) — the recurring Edition-lag defect found in those two prior documents was not present here, so no equivalent second document-control fix was required.</w:t>
      </w:r>
    </w:p>
    <w:p>
      <w:pPr>
        <w:spacing w:after="80" w:before="200"/>
      </w:pPr>
      <w:r>
        <w:rPr>
          <w:b/>
          <w:bCs/>
          <w:sz w:val="22"/>
          <w:szCs w:val="22"/>
        </w:rPr>
        <w:t xml:space="preserve">21. Full-Document Stale-Authority Scan</w:t>
      </w:r>
    </w:p>
    <w:p>
      <w:pPr>
        <w:spacing w:after="120"/>
      </w:pPr>
      <w:r>
        <w:rPr>
          <w:sz w:val="20"/>
          <w:szCs w:val="20"/>
        </w:rPr>
        <w:t xml:space="preserve">Every occurrence of 'v1.1' in the final document body and tables (30 occurrences) was individually inspected. All are either (a) the correctly-current citation to approved NCIE-007 v1.1 (NCIE-007's current version, unchanged by this amendment), or (b) explicitly historical content: the new '0.6 Document Amendment History' section's 'Version: v1.1' historical entry, the new 'Prior baseline' governance-table row, and the new '35.6 Reconciliation Note' section's historical count references. No current-authority statement anywhere in the document cites NCIE-001 v1.2, NCIE-002 v0.4, NCIE-003 v0.3, NCIE-004 v1.1, NCIE-005 v1.2, or NCIE-006 v1.1 as a current reference.</w:t>
      </w:r>
    </w:p>
    <w:p>
      <w:pPr>
        <w:spacing w:after="80" w:before="200"/>
      </w:pPr>
      <w:r>
        <w:rPr>
          <w:b/>
          <w:bCs/>
          <w:sz w:val="22"/>
          <w:szCs w:val="22"/>
        </w:rPr>
        <w:t xml:space="preserve">22. Semantic Contradiction Scan</w:t>
      </w:r>
    </w:p>
    <w:p>
      <w:pPr>
        <w:spacing w:after="120"/>
      </w:pPr>
      <w:r>
        <w:rPr>
          <w:sz w:val="20"/>
          <w:szCs w:val="20"/>
        </w:rPr>
        <w:t xml:space="preserve">A full-text scan for statements implying Agent Context creates Agent Authority, Ephemeral Agent expiry deletes required provenance, a Validated AI Result automatically becomes Institutional Knowledge, remembered Memory establishes current truth/eligibility, or recovery restores authorization, found none in current-edition text. Every governing invariant listed in the directive's §4-5 (existing 12 preserved verbatim, 14 new ones added) is stated explicitly (Ch.2 §2.4 primarily, cross-referenced elsewhere) and preserved consistently wherever the corresponding concept is discussed.</w:t>
      </w:r>
    </w:p>
    <w:p>
      <w:pPr>
        <w:spacing w:after="80" w:before="200"/>
      </w:pPr>
      <w:r>
        <w:rPr>
          <w:b/>
          <w:bCs/>
          <w:sz w:val="22"/>
          <w:szCs w:val="22"/>
        </w:rPr>
        <w:t xml:space="preserve">23. Visual Verification</w:t>
      </w:r>
    </w:p>
    <w:p>
      <w:pPr>
        <w:spacing w:after="120"/>
      </w:pPr>
      <w:r>
        <w:rPr>
          <w:sz w:val="20"/>
          <w:szCs w:val="20"/>
        </w:rPr>
        <w:t xml:space="preserve">The complete amended document was rendered to PDF via Microsoft Word (59 pages) with Word's own field/TOC update applied first. Cover, Document Governance, and the 23 amended chapters were confirmed present at their expected locations via programmatic paragraph/table/row-count checks on the final saved document (Table 17 confirmed to hold exactly 20 data rows plus header, matching the reconciled total; Table 18's 23 updated rows confirmed by direct cell-text inspection) rather than by visual sampling alone. No image-based diagrams were added or altered by this amendment.</w:t>
      </w:r>
    </w:p>
    <w:p>
      <w:pPr>
        <w:spacing w:after="80" w:before="200"/>
      </w:pPr>
      <w:r>
        <w:rPr>
          <w:b/>
          <w:bCs/>
          <w:sz w:val="22"/>
          <w:szCs w:val="22"/>
        </w:rPr>
        <w:t xml:space="preserve">24. No Placeholder or Fabricated Content</w:t>
      </w:r>
    </w:p>
    <w:p>
      <w:pPr>
        <w:spacing w:after="120"/>
      </w:pPr>
      <w:r>
        <w:rPr>
          <w:sz w:val="20"/>
          <w:szCs w:val="20"/>
        </w:rPr>
        <w:t xml:space="preserve">A full-text scan for TODO, TBD, PLACEHOLDER and FIXME found zero matches in the final document. No fabricated retention periods, institutional owners, RTO/RPO targets, provider-native memory mappings, or engineering-completion claims were found for any new Agent/VPF Memory/Context requirement; the existing six Human Review category labels are used consistently in their place, including for the four new items.</w:t>
      </w:r>
    </w:p>
    <w:p>
      <w:pPr>
        <w:spacing w:after="80" w:before="200"/>
      </w:pPr>
      <w:r>
        <w:rPr>
          <w:b/>
          <w:bCs/>
          <w:sz w:val="22"/>
          <w:szCs w:val="22"/>
        </w:rPr>
        <w:t xml:space="preserve">25. Three-Artifact Consistency Check</w:t>
      </w:r>
    </w:p>
    <w:p>
      <w:pPr>
        <w:spacing w:after="120"/>
      </w:pPr>
      <w:r>
        <w:rPr>
          <w:sz w:val="20"/>
          <w:szCs w:val="20"/>
        </w:rPr>
        <w:t xml:space="preserve">The amended NCIE-006 v1.2 main document, this Verification Report and the accompanying Surgical Amendment Change Register agree on: Source Version v1.1 → Target Version v1.2; Authority chain approved NCIE-001 v1.3 / NCIE-002 v0.5 / NCIE-003 v0.4 / NCIE-004 v1.2 / NCIE-005 v1.3 / NCIE-007 v1.1; Status IN DEVELOPMENT — FOR HUMAN REVIEW OF SURGICAL AMENDMENT (not Approved); 36 chapters preserved; amendment footprint = Chapters 1-5, 11, 14, 15, 17, 18, 22, 25-36 plus front matter/running header; Human Review Register 16 → 20 (17 Blocking / 3 Non-Blocking); Agent Context Status = governed, non-authority-creating; VPF/Knowledge Status = never automatically promoted; Decision-Time Status = historical-state-only; Recovery Status = never reauthorizing.</w:t>
      </w:r>
    </w:p>
    <w:p>
      <w:pPr>
        <w:spacing w:after="80" w:before="200"/>
      </w:pPr>
      <w:r>
        <w:rPr>
          <w:b/>
          <w:bCs/>
          <w:sz w:val="22"/>
          <w:szCs w:val="22"/>
        </w:rPr>
        <w:t xml:space="preserve">26. Final Human-Review Readiness Disposition</w:t>
      </w:r>
    </w:p>
    <w:p>
      <w:pPr>
        <w:spacing w:after="120"/>
      </w:pPr>
      <w:r>
        <w:rPr>
          <w:sz w:val="20"/>
          <w:szCs w:val="20"/>
        </w:rPr>
        <w:t xml:space="preserve">NCIE-006 — Memory &amp; Context Architecture Specification v1.2 — VPF &amp; Dynamic Agent Context Surgical Consistency Amendment is READY FOR HUMAN REVIEW. The v1.1 baseline remains historically preserved and in force except for the specific amendments listed in the accompanying Change Register. This document specifies Memory/Context architecture consequences of the approved Dynamic Agent/VPF chain; per Ch.36 §36.6 it does not certify that the underlying engineering/orchestration/behavioral capability (NCIE-004 v1.2, NCIE-005 v1.3, NCIE-007 v1.1) has been implemented or operationally activated.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2026-09-04T19:09:50.729Z</dcterms:created>
  <dcterms:modified xsi:type="dcterms:W3CDTF">2026-09-04T19:09:50.730Z</dcterms:modified>
</cp:coreProperties>
</file>

<file path=docProps/custom.xml><?xml version="1.0" encoding="utf-8"?>
<Properties xmlns="http://schemas.openxmlformats.org/officeDocument/2006/custom-properties" xmlns:vt="http://schemas.openxmlformats.org/officeDocument/2006/docPropsVTypes"/>
</file>