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b/>
          <w:bCs/>
          <w:sz w:val="30"/>
          <w:szCs w:val="30"/>
        </w:rPr>
        <w:t xml:space="preserve">NCIE-009 Skeletal v0.1 → Full v1.0</w:t>
      </w:r>
    </w:p>
    <w:p>
      <w:pPr>
        <w:spacing w:after="100"/>
        <w:jc w:val="center"/>
      </w:pPr>
      <w:r>
        <w:rPr>
          <w:b/>
          <w:bCs/>
          <w:sz w:val="26"/>
          <w:szCs w:val="26"/>
        </w:rPr>
        <w:t xml:space="preserve">Full-Expansion Change Register</w:t>
      </w:r>
    </w:p>
    <w:p>
      <w:pPr>
        <w:spacing w:after="240"/>
        <w:jc w:val="center"/>
      </w:pPr>
      <w:r>
        <w:rPr>
          <w:i/>
          <w:iCs/>
          <w:sz w:val="19"/>
          <w:szCs w:val="19"/>
        </w:rPr>
        <w:t xml:space="preserve">Security, IAM &amp; Zero-Trust Architecture — IN DEVELOPMENT / FOR HUMAN REVIEW</w:t>
      </w:r>
    </w:p>
    <w:p>
      <w:pPr>
        <w:spacing w:after="80" w:before="0"/>
      </w:pPr>
      <w:r>
        <w:rPr>
          <w:b/>
          <w:bCs/>
          <w:sz w:val="20"/>
          <w:szCs w:val="20"/>
        </w:rPr>
        <w:t xml:space="preserve">Pre-Approval Surgical Correction Record</w:t>
      </w:r>
    </w:p>
    <w:p>
      <w:pPr>
        <w:spacing w:after="200"/>
      </w:pPr>
      <w:r>
        <w:rPr>
          <w:sz w:val="19"/>
          <w:szCs w:val="19"/>
        </w:rPr>
        <w:t xml:space="preserve">This is a pre-approval CORRECTION to v1.0, not a v1.0→v1.1 amendment — the specification version is unchanged and remains unapproved. Independent human examination (David King Boison, PhD — Academic Intelligence Center) found that Chapter 27 (Human Review Register &amp; Open Security Decisions) was missing its required explicit '27.0 Salient Things to Note' subsection — a directive item 5 hard-gate violation — and that this Change Register's and the Verification Report's blanket skeleton-fidelity statements incorrectly certified 28/28 chapters compliant. A '27.0 Salient Things to Note' subsection was inserted using the already-approved skeletal Chapter 27 salient content verbatim; no new security doctrine, Human Review item, or security control was introduced, and no other chapter was reopened or renumbered.</w:t>
      </w:r>
    </w:p>
    <w:p>
      <w:pPr>
        <w:spacing w:after="200"/>
      </w:pPr>
      <w:r>
        <w:rPr>
          <w:sz w:val="19"/>
          <w:szCs w:val="19"/>
        </w:rPr>
        <w:t xml:space="preserve">Maps each of the 28 approved NCIE-009 Skeletal v0.1 chapters to its expanded v1.0 location, states the authority basis for the expansion, and records the effect on that chapter's Human Review Focus item. No chapter was added, removed, merged, split or renumbered; every approved chapter purpose, Salient Things to Note, principal security component, upstream dependency and Human Review focus is substantively represented below.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tblGrid>
      <w:tr>
        <w:trPr>
          <w:tblHeader/>
        </w:trPr>
        <w:tc>
          <w:tcPr>
            <w:tcW w:type="dxa" w:w="700"/>
            <w:shd w:fill="2F5496" w:color="auto" w:val="clear"/>
            <w:tcMar>
              <w:top w:type="dxa" w:w="60"/>
              <w:left w:type="dxa" w:w="80"/>
              <w:bottom w:type="dxa" w:w="60"/>
              <w:right w:type="dxa" w:w="80"/>
            </w:tcMar>
          </w:tcPr>
          <w:p>
            <w:r>
              <w:rPr>
                <w:b/>
                <w:bCs/>
                <w:color w:val="FFFFFF"/>
                <w:sz w:val="17"/>
                <w:szCs w:val="17"/>
              </w:rPr>
              <w:t xml:space="preserve">Ch.</w:t>
            </w:r>
          </w:p>
        </w:tc>
        <w:tc>
          <w:tcPr>
            <w:tcW w:type="dxa" w:w="3200"/>
            <w:shd w:fill="2F5496" w:color="auto" w:val="clear"/>
            <w:tcMar>
              <w:top w:type="dxa" w:w="60"/>
              <w:left w:type="dxa" w:w="80"/>
              <w:bottom w:type="dxa" w:w="60"/>
              <w:right w:type="dxa" w:w="80"/>
            </w:tcMar>
          </w:tcPr>
          <w:p>
            <w:r>
              <w:rPr>
                <w:b/>
                <w:bCs/>
                <w:color w:val="FFFFFF"/>
                <w:sz w:val="17"/>
                <w:szCs w:val="17"/>
              </w:rPr>
              <w:t xml:space="preserve">Approved Skeletal Component (v0.1)</w:t>
            </w:r>
          </w:p>
        </w:tc>
        <w:tc>
          <w:tcPr>
            <w:tcW w:type="dxa" w:w="2600"/>
            <w:shd w:fill="2F5496" w:color="auto" w:val="clear"/>
            <w:tcMar>
              <w:top w:type="dxa" w:w="60"/>
              <w:left w:type="dxa" w:w="80"/>
              <w:bottom w:type="dxa" w:w="60"/>
              <w:right w:type="dxa" w:w="80"/>
            </w:tcMar>
          </w:tcPr>
          <w:p>
            <w:r>
              <w:rPr>
                <w:b/>
                <w:bCs/>
                <w:color w:val="FFFFFF"/>
                <w:sz w:val="17"/>
                <w:szCs w:val="17"/>
              </w:rPr>
              <w:t xml:space="preserve">Expanded Location (v1.0)</w:t>
            </w:r>
          </w:p>
        </w:tc>
        <w:tc>
          <w:tcPr>
            <w:tcW w:type="dxa" w:w="2400"/>
            <w:shd w:fill="2F5496" w:color="auto" w:val="clear"/>
            <w:tcMar>
              <w:top w:type="dxa" w:w="60"/>
              <w:left w:type="dxa" w:w="80"/>
              <w:bottom w:type="dxa" w:w="60"/>
              <w:right w:type="dxa" w:w="80"/>
            </w:tcMar>
          </w:tcPr>
          <w:p>
            <w:r>
              <w:rPr>
                <w:b/>
                <w:bCs/>
                <w:color w:val="FFFFFF"/>
                <w:sz w:val="17"/>
                <w:szCs w:val="17"/>
              </w:rPr>
              <w:t xml:space="preserve">Authority Basis</w:t>
            </w:r>
          </w:p>
        </w:tc>
        <w:tc>
          <w:tcPr>
            <w:tcW w:type="dxa" w:w="2400"/>
            <w:shd w:fill="2F5496" w:color="auto" w:val="clear"/>
            <w:tcMar>
              <w:top w:type="dxa" w:w="60"/>
              <w:left w:type="dxa" w:w="80"/>
              <w:bottom w:type="dxa" w:w="60"/>
              <w:right w:type="dxa" w:w="80"/>
            </w:tcMar>
          </w:tcPr>
          <w:p>
            <w:r>
              <w:rPr>
                <w:b/>
                <w:bCs/>
                <w:color w:val="FFFFFF"/>
                <w:sz w:val="17"/>
                <w:szCs w:val="17"/>
              </w:rPr>
              <w:t xml:space="preserve">Human Review Effect</w:t>
            </w:r>
          </w:p>
        </w:tc>
        <w:tc>
          <w:tcPr>
            <w:tcW w:type="dxa" w:w="1300"/>
            <w:shd w:fill="2F5496" w:color="auto" w:val="clear"/>
            <w:tcMar>
              <w:top w:type="dxa" w:w="60"/>
              <w:left w:type="dxa" w:w="80"/>
              <w:bottom w:type="dxa" w:w="60"/>
              <w:right w:type="dxa" w:w="80"/>
            </w:tcMar>
          </w:tcPr>
          <w:p>
            <w:r>
              <w:rPr>
                <w:b/>
                <w:bCs/>
                <w:color w:val="FFFFFF"/>
                <w:sz w:val="17"/>
                <w:szCs w:val="17"/>
              </w:rPr>
              <w:t xml:space="preserve">Status</w:t>
            </w:r>
          </w:p>
        </w:tc>
      </w:tr>
      <w:tr>
        <w:tc>
          <w:tcPr>
            <w:tcW w:type="dxa" w:w="700"/>
            <w:tcMar>
              <w:top w:type="dxa" w:w="60"/>
              <w:left w:type="dxa" w:w="80"/>
              <w:bottom w:type="dxa" w:w="60"/>
              <w:right w:type="dxa" w:w="80"/>
            </w:tcMar>
          </w:tcPr>
          <w:p>
            <w:r>
              <w:rPr>
                <w:b/>
                <w:bCs/>
                <w:sz w:val="17"/>
                <w:szCs w:val="17"/>
              </w:rPr>
              <w:t xml:space="preserve">1</w:t>
            </w:r>
          </w:p>
        </w:tc>
        <w:tc>
          <w:tcPr>
            <w:tcW w:type="dxa" w:w="3200"/>
            <w:tcMar>
              <w:top w:type="dxa" w:w="60"/>
              <w:left w:type="dxa" w:w="80"/>
              <w:bottom w:type="dxa" w:w="60"/>
              <w:right w:type="dxa" w:w="80"/>
            </w:tcMar>
          </w:tcPr>
          <w:p>
            <w:r>
              <w:rPr>
                <w:b w:val="false"/>
                <w:bCs w:val="false"/>
                <w:sz w:val="17"/>
                <w:szCs w:val="17"/>
              </w:rPr>
              <w:t xml:space="preserve">Mandate, authority chain, security boundary; HR focus: acceptance/sign-off authority.</w:t>
            </w:r>
          </w:p>
        </w:tc>
        <w:tc>
          <w:tcPr>
            <w:tcW w:type="dxa" w:w="2600"/>
            <w:tcMar>
              <w:top w:type="dxa" w:w="60"/>
              <w:left w:type="dxa" w:w="80"/>
              <w:bottom w:type="dxa" w:w="60"/>
              <w:right w:type="dxa" w:w="80"/>
            </w:tcMar>
          </w:tcPr>
          <w:p>
            <w:r>
              <w:rPr>
                <w:b w:val="false"/>
                <w:bCs w:val="false"/>
                <w:sz w:val="17"/>
                <w:szCs w:val="17"/>
              </w:rPr>
              <w:t xml:space="preserve">§1.1-1.3, Table 1 (security boundary), Table 2 (RACI), HR9-1-1.</w:t>
            </w:r>
          </w:p>
        </w:tc>
        <w:tc>
          <w:tcPr>
            <w:tcW w:type="dxa" w:w="2400"/>
            <w:tcMar>
              <w:top w:type="dxa" w:w="60"/>
              <w:left w:type="dxa" w:w="80"/>
              <w:bottom w:type="dxa" w:w="60"/>
              <w:right w:type="dxa" w:w="80"/>
            </w:tcMar>
          </w:tcPr>
          <w:p>
            <w:r>
              <w:rPr>
                <w:b w:val="false"/>
                <w:bCs w:val="false"/>
                <w:sz w:val="17"/>
                <w:szCs w:val="17"/>
              </w:rPr>
              <w:t xml:space="preserve">NCIE-002 Ch.4/Ch.24; NCIE-004; NCIE-006/007; NCIE-008 Ch.1/Ch.4.</w:t>
            </w:r>
          </w:p>
        </w:tc>
        <w:tc>
          <w:tcPr>
            <w:tcW w:type="dxa" w:w="2400"/>
            <w:tcMar>
              <w:top w:type="dxa" w:w="60"/>
              <w:left w:type="dxa" w:w="80"/>
              <w:bottom w:type="dxa" w:w="60"/>
              <w:right w:type="dxa" w:w="80"/>
            </w:tcMar>
          </w:tcPr>
          <w:p>
            <w:r>
              <w:rPr>
                <w:b w:val="false"/>
                <w:bCs w:val="false"/>
                <w:sz w:val="17"/>
                <w:szCs w:val="17"/>
              </w:rPr>
              <w:t xml:space="preserve">HR9-1-1 cross-referenced to NCIE-008 HR8-10-1 (directive item 51 dedup).</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w:t>
            </w:r>
          </w:p>
        </w:tc>
        <w:tc>
          <w:tcPr>
            <w:tcW w:type="dxa" w:w="3200"/>
            <w:tcMar>
              <w:top w:type="dxa" w:w="60"/>
              <w:left w:type="dxa" w:w="80"/>
              <w:bottom w:type="dxa" w:w="60"/>
              <w:right w:type="dxa" w:w="80"/>
            </w:tcMar>
          </w:tcPr>
          <w:p>
            <w:r>
              <w:rPr>
                <w:b w:val="false"/>
                <w:bCs w:val="false"/>
                <w:sz w:val="17"/>
                <w:szCs w:val="17"/>
              </w:rPr>
              <w:t xml:space="preserve">Security doctrine/threat model/trust assumptions; HR focus: risk appetite.</w:t>
            </w:r>
          </w:p>
        </w:tc>
        <w:tc>
          <w:tcPr>
            <w:tcW w:type="dxa" w:w="2600"/>
            <w:tcMar>
              <w:top w:type="dxa" w:w="60"/>
              <w:left w:type="dxa" w:w="80"/>
              <w:bottom w:type="dxa" w:w="60"/>
              <w:right w:type="dxa" w:w="80"/>
            </w:tcMar>
          </w:tcPr>
          <w:p>
            <w:r>
              <w:rPr>
                <w:b w:val="false"/>
                <w:bCs w:val="false"/>
                <w:sz w:val="17"/>
                <w:szCs w:val="17"/>
              </w:rPr>
              <w:t xml:space="preserve">§2.1-2.3, Table 3 Threat-Control Traceability Matrix (directive item 49), HR9-2-1.</w:t>
            </w:r>
          </w:p>
        </w:tc>
        <w:tc>
          <w:tcPr>
            <w:tcW w:type="dxa" w:w="2400"/>
            <w:tcMar>
              <w:top w:type="dxa" w:w="60"/>
              <w:left w:type="dxa" w:w="80"/>
              <w:bottom w:type="dxa" w:w="60"/>
              <w:right w:type="dxa" w:w="80"/>
            </w:tcMar>
          </w:tcPr>
          <w:p>
            <w:r>
              <w:rPr>
                <w:b w:val="false"/>
                <w:bCs w:val="false"/>
                <w:sz w:val="17"/>
                <w:szCs w:val="17"/>
              </w:rPr>
              <w:t xml:space="preserve">NCIE-002 Zero Trust; NCIE-004; NCIE-007 isolation.</w:t>
            </w:r>
          </w:p>
        </w:tc>
        <w:tc>
          <w:tcPr>
            <w:tcW w:type="dxa" w:w="2400"/>
            <w:tcMar>
              <w:top w:type="dxa" w:w="60"/>
              <w:left w:type="dxa" w:w="80"/>
              <w:bottom w:type="dxa" w:w="60"/>
              <w:right w:type="dxa" w:w="80"/>
            </w:tcMar>
          </w:tcPr>
          <w:p>
            <w:r>
              <w:rPr>
                <w:b w:val="false"/>
                <w:bCs w:val="false"/>
                <w:sz w:val="17"/>
                <w:szCs w:val="17"/>
              </w:rPr>
              <w:t xml:space="preserve">HR9-2-1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3</w:t>
            </w:r>
          </w:p>
        </w:tc>
        <w:tc>
          <w:tcPr>
            <w:tcW w:type="dxa" w:w="3200"/>
            <w:tcMar>
              <w:top w:type="dxa" w:w="60"/>
              <w:left w:type="dxa" w:w="80"/>
              <w:bottom w:type="dxa" w:w="60"/>
              <w:right w:type="dxa" w:w="80"/>
            </w:tcMar>
          </w:tcPr>
          <w:p>
            <w:r>
              <w:rPr>
                <w:b w:val="false"/>
                <w:bCs w:val="false"/>
                <w:sz w:val="17"/>
                <w:szCs w:val="17"/>
              </w:rPr>
              <w:t xml:space="preserve">Identity taxonomy &amp; principal model; HR focus: authoritative identity sources.</w:t>
            </w:r>
          </w:p>
        </w:tc>
        <w:tc>
          <w:tcPr>
            <w:tcW w:type="dxa" w:w="2600"/>
            <w:tcMar>
              <w:top w:type="dxa" w:w="60"/>
              <w:left w:type="dxa" w:w="80"/>
              <w:bottom w:type="dxa" w:w="60"/>
              <w:right w:type="dxa" w:w="80"/>
            </w:tcMar>
          </w:tcPr>
          <w:p>
            <w:r>
              <w:rPr>
                <w:b w:val="false"/>
                <w:bCs w:val="false"/>
                <w:sz w:val="17"/>
                <w:szCs w:val="17"/>
              </w:rPr>
              <w:t xml:space="preserve">§3.1 (Table 4, 7 principal classes), §3.2, Table 5 (RACI), HR9-3-1.</w:t>
            </w:r>
          </w:p>
        </w:tc>
        <w:tc>
          <w:tcPr>
            <w:tcW w:type="dxa" w:w="2400"/>
            <w:tcMar>
              <w:top w:type="dxa" w:w="60"/>
              <w:left w:type="dxa" w:w="80"/>
              <w:bottom w:type="dxa" w:w="60"/>
              <w:right w:type="dxa" w:w="80"/>
            </w:tcMar>
          </w:tcPr>
          <w:p>
            <w:r>
              <w:rPr>
                <w:b w:val="false"/>
                <w:bCs w:val="false"/>
                <w:sz w:val="17"/>
                <w:szCs w:val="17"/>
              </w:rPr>
              <w:t xml:space="preserve">NCIE-003 identities; NCIE-006/007 runtime identity; NCIE-008 Ch.3.</w:t>
            </w:r>
          </w:p>
        </w:tc>
        <w:tc>
          <w:tcPr>
            <w:tcW w:type="dxa" w:w="2400"/>
            <w:tcMar>
              <w:top w:type="dxa" w:w="60"/>
              <w:left w:type="dxa" w:w="80"/>
              <w:bottom w:type="dxa" w:w="60"/>
              <w:right w:type="dxa" w:w="80"/>
            </w:tcMar>
          </w:tcPr>
          <w:p>
            <w:r>
              <w:rPr>
                <w:b w:val="false"/>
                <w:bCs w:val="false"/>
                <w:sz w:val="17"/>
                <w:szCs w:val="17"/>
              </w:rPr>
              <w:t xml:space="preserve">HR9-3-1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4</w:t>
            </w:r>
          </w:p>
        </w:tc>
        <w:tc>
          <w:tcPr>
            <w:tcW w:type="dxa" w:w="3200"/>
            <w:tcMar>
              <w:top w:type="dxa" w:w="60"/>
              <w:left w:type="dxa" w:w="80"/>
              <w:bottom w:type="dxa" w:w="60"/>
              <w:right w:type="dxa" w:w="80"/>
            </w:tcMar>
          </w:tcPr>
          <w:p>
            <w:r>
              <w:rPr>
                <w:b w:val="false"/>
                <w:bCs w:val="false"/>
                <w:sz w:val="17"/>
                <w:szCs w:val="17"/>
              </w:rPr>
              <w:t xml:space="preserve">Identity proofing, enrollment &amp; lifecycle; HR focus: proofing strength/enrollment authority.</w:t>
            </w:r>
          </w:p>
        </w:tc>
        <w:tc>
          <w:tcPr>
            <w:tcW w:type="dxa" w:w="2600"/>
            <w:tcMar>
              <w:top w:type="dxa" w:w="60"/>
              <w:left w:type="dxa" w:w="80"/>
              <w:bottom w:type="dxa" w:w="60"/>
              <w:right w:type="dxa" w:w="80"/>
            </w:tcMar>
          </w:tcPr>
          <w:p>
            <w:r>
              <w:rPr>
                <w:b w:val="false"/>
                <w:bCs w:val="false"/>
                <w:sz w:val="17"/>
                <w:szCs w:val="17"/>
              </w:rPr>
              <w:t xml:space="preserve">§4.1-4.2, Table 6 (RACI), HR9-4-1.</w:t>
            </w:r>
          </w:p>
        </w:tc>
        <w:tc>
          <w:tcPr>
            <w:tcW w:type="dxa" w:w="2400"/>
            <w:tcMar>
              <w:top w:type="dxa" w:w="60"/>
              <w:left w:type="dxa" w:w="80"/>
              <w:bottom w:type="dxa" w:w="60"/>
              <w:right w:type="dxa" w:w="80"/>
            </w:tcMar>
          </w:tcPr>
          <w:p>
            <w:r>
              <w:rPr>
                <w:b w:val="false"/>
                <w:bCs w:val="false"/>
                <w:sz w:val="17"/>
                <w:szCs w:val="17"/>
              </w:rPr>
              <w:t xml:space="preserve">NCIE-005 protected identity/voice; NCIE-008 governance.</w:t>
            </w:r>
          </w:p>
        </w:tc>
        <w:tc>
          <w:tcPr>
            <w:tcW w:type="dxa" w:w="2400"/>
            <w:tcMar>
              <w:top w:type="dxa" w:w="60"/>
              <w:left w:type="dxa" w:w="80"/>
              <w:bottom w:type="dxa" w:w="60"/>
              <w:right w:type="dxa" w:w="80"/>
            </w:tcMar>
          </w:tcPr>
          <w:p>
            <w:r>
              <w:rPr>
                <w:b w:val="false"/>
                <w:bCs w:val="false"/>
                <w:sz w:val="17"/>
                <w:szCs w:val="17"/>
              </w:rPr>
              <w:t xml:space="preserve">HR9-4-1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5</w:t>
            </w:r>
          </w:p>
        </w:tc>
        <w:tc>
          <w:tcPr>
            <w:tcW w:type="dxa" w:w="3200"/>
            <w:tcMar>
              <w:top w:type="dxa" w:w="60"/>
              <w:left w:type="dxa" w:w="80"/>
              <w:bottom w:type="dxa" w:w="60"/>
              <w:right w:type="dxa" w:w="80"/>
            </w:tcMar>
          </w:tcPr>
          <w:p>
            <w:r>
              <w:rPr>
                <w:b w:val="false"/>
                <w:bCs w:val="false"/>
                <w:sz w:val="17"/>
                <w:szCs w:val="17"/>
              </w:rPr>
              <w:t xml:space="preserve">Authentication architecture; HR focus: assurance levels/step-up triggers.</w:t>
            </w:r>
          </w:p>
        </w:tc>
        <w:tc>
          <w:tcPr>
            <w:tcW w:type="dxa" w:w="2600"/>
            <w:tcMar>
              <w:top w:type="dxa" w:w="60"/>
              <w:left w:type="dxa" w:w="80"/>
              <w:bottom w:type="dxa" w:w="60"/>
              <w:right w:type="dxa" w:w="80"/>
            </w:tcMar>
          </w:tcPr>
          <w:p>
            <w:r>
              <w:rPr>
                <w:b w:val="false"/>
                <w:bCs w:val="false"/>
                <w:sz w:val="17"/>
                <w:szCs w:val="17"/>
              </w:rPr>
              <w:t xml:space="preserve">§5.1-5.3, Table 7 Identity-Assurance Matrix (directive item 48), Table 8 (RACI), HR9-5-1.</w:t>
            </w:r>
          </w:p>
        </w:tc>
        <w:tc>
          <w:tcPr>
            <w:tcW w:type="dxa" w:w="2400"/>
            <w:tcMar>
              <w:top w:type="dxa" w:w="60"/>
              <w:left w:type="dxa" w:w="80"/>
              <w:bottom w:type="dxa" w:w="60"/>
              <w:right w:type="dxa" w:w="80"/>
            </w:tcMar>
          </w:tcPr>
          <w:p>
            <w:r>
              <w:rPr>
                <w:b w:val="false"/>
                <w:bCs w:val="false"/>
                <w:sz w:val="17"/>
                <w:szCs w:val="17"/>
              </w:rPr>
              <w:t xml:space="preserve">NCIE-002/004 security; NCIE-008 decision rights.</w:t>
            </w:r>
          </w:p>
        </w:tc>
        <w:tc>
          <w:tcPr>
            <w:tcW w:type="dxa" w:w="2400"/>
            <w:tcMar>
              <w:top w:type="dxa" w:w="60"/>
              <w:left w:type="dxa" w:w="80"/>
              <w:bottom w:type="dxa" w:w="60"/>
              <w:right w:type="dxa" w:w="80"/>
            </w:tcMar>
          </w:tcPr>
          <w:p>
            <w:r>
              <w:rPr>
                <w:b w:val="false"/>
                <w:bCs w:val="false"/>
                <w:sz w:val="17"/>
                <w:szCs w:val="17"/>
              </w:rPr>
              <w:t xml:space="preserve">HR9-5-1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6</w:t>
            </w:r>
          </w:p>
        </w:tc>
        <w:tc>
          <w:tcPr>
            <w:tcW w:type="dxa" w:w="3200"/>
            <w:tcMar>
              <w:top w:type="dxa" w:w="60"/>
              <w:left w:type="dxa" w:w="80"/>
              <w:bottom w:type="dxa" w:w="60"/>
              <w:right w:type="dxa" w:w="80"/>
            </w:tcMar>
          </w:tcPr>
          <w:p>
            <w:r>
              <w:rPr>
                <w:b w:val="false"/>
                <w:bCs w:val="false"/>
                <w:sz w:val="17"/>
                <w:szCs w:val="17"/>
              </w:rPr>
              <w:t xml:space="preserve">Authorization architecture &amp; policy decision model; HR focus: role/attribute mappings.</w:t>
            </w:r>
          </w:p>
        </w:tc>
        <w:tc>
          <w:tcPr>
            <w:tcW w:type="dxa" w:w="2600"/>
            <w:tcMar>
              <w:top w:type="dxa" w:w="60"/>
              <w:left w:type="dxa" w:w="80"/>
              <w:bottom w:type="dxa" w:w="60"/>
              <w:right w:type="dxa" w:w="80"/>
            </w:tcMar>
          </w:tcPr>
          <w:p>
            <w:r>
              <w:rPr>
                <w:b w:val="false"/>
                <w:bCs w:val="false"/>
                <w:sz w:val="17"/>
                <w:szCs w:val="17"/>
              </w:rPr>
              <w:t xml:space="preserve">§6.1-6.3, Table 9 Authorization-Decision Matrix (directive item 48), Table 10 (RACI), HR9-6-1.</w:t>
            </w:r>
          </w:p>
        </w:tc>
        <w:tc>
          <w:tcPr>
            <w:tcW w:type="dxa" w:w="2400"/>
            <w:tcMar>
              <w:top w:type="dxa" w:w="60"/>
              <w:left w:type="dxa" w:w="80"/>
              <w:bottom w:type="dxa" w:w="60"/>
              <w:right w:type="dxa" w:w="80"/>
            </w:tcMar>
          </w:tcPr>
          <w:p>
            <w:r>
              <w:rPr>
                <w:b w:val="false"/>
                <w:bCs w:val="false"/>
                <w:sz w:val="17"/>
                <w:szCs w:val="17"/>
              </w:rPr>
              <w:t xml:space="preserve">NCIE-002 four-layer; NCIE-006 Ch.25; NCIE-007 Ch.14; NCIE-008.</w:t>
            </w:r>
          </w:p>
        </w:tc>
        <w:tc>
          <w:tcPr>
            <w:tcW w:type="dxa" w:w="2400"/>
            <w:tcMar>
              <w:top w:type="dxa" w:w="60"/>
              <w:left w:type="dxa" w:w="80"/>
              <w:bottom w:type="dxa" w:w="60"/>
              <w:right w:type="dxa" w:w="80"/>
            </w:tcMar>
          </w:tcPr>
          <w:p>
            <w:r>
              <w:rPr>
                <w:b w:val="false"/>
                <w:bCs w:val="false"/>
                <w:sz w:val="17"/>
                <w:szCs w:val="17"/>
              </w:rPr>
              <w:t xml:space="preserve">HR9-6-1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7</w:t>
            </w:r>
          </w:p>
        </w:tc>
        <w:tc>
          <w:tcPr>
            <w:tcW w:type="dxa" w:w="3200"/>
            <w:tcMar>
              <w:top w:type="dxa" w:w="60"/>
              <w:left w:type="dxa" w:w="80"/>
              <w:bottom w:type="dxa" w:w="60"/>
              <w:right w:type="dxa" w:w="80"/>
            </w:tcMar>
          </w:tcPr>
          <w:p>
            <w:r>
              <w:rPr>
                <w:b w:val="false"/>
                <w:bCs w:val="false"/>
                <w:sz w:val="17"/>
                <w:szCs w:val="17"/>
              </w:rPr>
              <w:t xml:space="preserve">Delegation, impersonation &amp; effective principal; HR focus: delegation classes.</w:t>
            </w:r>
          </w:p>
        </w:tc>
        <w:tc>
          <w:tcPr>
            <w:tcW w:type="dxa" w:w="2600"/>
            <w:tcMar>
              <w:top w:type="dxa" w:w="60"/>
              <w:left w:type="dxa" w:w="80"/>
              <w:bottom w:type="dxa" w:w="60"/>
              <w:right w:type="dxa" w:w="80"/>
            </w:tcMar>
          </w:tcPr>
          <w:p>
            <w:r>
              <w:rPr>
                <w:b w:val="false"/>
                <w:bCs w:val="false"/>
                <w:sz w:val="17"/>
                <w:szCs w:val="17"/>
              </w:rPr>
              <w:t xml:space="preserve">§7.1-7.3, Table 11 Delegation Matrix (directive item 48), Table 12 (RACI), HR9-7-1.</w:t>
            </w:r>
          </w:p>
        </w:tc>
        <w:tc>
          <w:tcPr>
            <w:tcW w:type="dxa" w:w="2400"/>
            <w:tcMar>
              <w:top w:type="dxa" w:w="60"/>
              <w:left w:type="dxa" w:w="80"/>
              <w:bottom w:type="dxa" w:w="60"/>
              <w:right w:type="dxa" w:w="80"/>
            </w:tcMar>
          </w:tcPr>
          <w:p>
            <w:r>
              <w:rPr>
                <w:b w:val="false"/>
                <w:bCs w:val="false"/>
                <w:sz w:val="17"/>
                <w:szCs w:val="17"/>
              </w:rPr>
              <w:t xml:space="preserve">NCIE-006/007 delegated authorization; NCIE-008 delegation governance.</w:t>
            </w:r>
          </w:p>
        </w:tc>
        <w:tc>
          <w:tcPr>
            <w:tcW w:type="dxa" w:w="2400"/>
            <w:tcMar>
              <w:top w:type="dxa" w:w="60"/>
              <w:left w:type="dxa" w:w="80"/>
              <w:bottom w:type="dxa" w:w="60"/>
              <w:right w:type="dxa" w:w="80"/>
            </w:tcMar>
          </w:tcPr>
          <w:p>
            <w:r>
              <w:rPr>
                <w:b w:val="false"/>
                <w:bCs w:val="false"/>
                <w:sz w:val="17"/>
                <w:szCs w:val="17"/>
              </w:rPr>
              <w:t xml:space="preserve">HR9-7-1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8</w:t>
            </w:r>
          </w:p>
        </w:tc>
        <w:tc>
          <w:tcPr>
            <w:tcW w:type="dxa" w:w="3200"/>
            <w:tcMar>
              <w:top w:type="dxa" w:w="60"/>
              <w:left w:type="dxa" w:w="80"/>
              <w:bottom w:type="dxa" w:w="60"/>
              <w:right w:type="dxa" w:w="80"/>
            </w:tcMar>
          </w:tcPr>
          <w:p>
            <w:r>
              <w:rPr>
                <w:b w:val="false"/>
                <w:bCs w:val="false"/>
                <w:sz w:val="17"/>
                <w:szCs w:val="17"/>
              </w:rPr>
              <w:t xml:space="preserve">Privileged access management; HR focus: privileged-access authority/classes.</w:t>
            </w:r>
          </w:p>
        </w:tc>
        <w:tc>
          <w:tcPr>
            <w:tcW w:type="dxa" w:w="2600"/>
            <w:tcMar>
              <w:top w:type="dxa" w:w="60"/>
              <w:left w:type="dxa" w:w="80"/>
              <w:bottom w:type="dxa" w:w="60"/>
              <w:right w:type="dxa" w:w="80"/>
            </w:tcMar>
          </w:tcPr>
          <w:p>
            <w:r>
              <w:rPr>
                <w:b w:val="false"/>
                <w:bCs w:val="false"/>
                <w:sz w:val="17"/>
                <w:szCs w:val="17"/>
              </w:rPr>
              <w:t xml:space="preserve">§8.1-8.3, Table 13 Privileged/Break-Glass Matrix Pt.1 (directive item 48), Table 14 (RACI), HR9-8-1.</w:t>
            </w:r>
          </w:p>
        </w:tc>
        <w:tc>
          <w:tcPr>
            <w:tcW w:type="dxa" w:w="2400"/>
            <w:tcMar>
              <w:top w:type="dxa" w:w="60"/>
              <w:left w:type="dxa" w:w="80"/>
              <w:bottom w:type="dxa" w:w="60"/>
              <w:right w:type="dxa" w:w="80"/>
            </w:tcMar>
          </w:tcPr>
          <w:p>
            <w:r>
              <w:rPr>
                <w:b w:val="false"/>
                <w:bCs w:val="false"/>
                <w:sz w:val="17"/>
                <w:szCs w:val="17"/>
              </w:rPr>
              <w:t xml:space="preserve">NCIE-006 admin/content boundary; NCIE-008 Ch.20.</w:t>
            </w:r>
          </w:p>
        </w:tc>
        <w:tc>
          <w:tcPr>
            <w:tcW w:type="dxa" w:w="2400"/>
            <w:tcMar>
              <w:top w:type="dxa" w:w="60"/>
              <w:left w:type="dxa" w:w="80"/>
              <w:bottom w:type="dxa" w:w="60"/>
              <w:right w:type="dxa" w:w="80"/>
            </w:tcMar>
          </w:tcPr>
          <w:p>
            <w:r>
              <w:rPr>
                <w:b w:val="false"/>
                <w:bCs w:val="false"/>
                <w:sz w:val="17"/>
                <w:szCs w:val="17"/>
              </w:rPr>
              <w:t xml:space="preserve">HR9-8-1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9</w:t>
            </w:r>
          </w:p>
        </w:tc>
        <w:tc>
          <w:tcPr>
            <w:tcW w:type="dxa" w:w="3200"/>
            <w:tcMar>
              <w:top w:type="dxa" w:w="60"/>
              <w:left w:type="dxa" w:w="80"/>
              <w:bottom w:type="dxa" w:w="60"/>
              <w:right w:type="dxa" w:w="80"/>
            </w:tcMar>
          </w:tcPr>
          <w:p>
            <w:r>
              <w:rPr>
                <w:b w:val="false"/>
                <w:bCs w:val="false"/>
                <w:sz w:val="17"/>
                <w:szCs w:val="17"/>
              </w:rPr>
              <w:t xml:space="preserve">Break-glass &amp; emergency access; HR focus: break-glass authority/eligible emergencies.</w:t>
            </w:r>
          </w:p>
        </w:tc>
        <w:tc>
          <w:tcPr>
            <w:tcW w:type="dxa" w:w="2600"/>
            <w:tcMar>
              <w:top w:type="dxa" w:w="60"/>
              <w:left w:type="dxa" w:w="80"/>
              <w:bottom w:type="dxa" w:w="60"/>
              <w:right w:type="dxa" w:w="80"/>
            </w:tcMar>
          </w:tcPr>
          <w:p>
            <w:r>
              <w:rPr>
                <w:b w:val="false"/>
                <w:bCs w:val="false"/>
                <w:sz w:val="17"/>
                <w:szCs w:val="17"/>
              </w:rPr>
              <w:t xml:space="preserve">§9.1-9.3, Table 15 Privileged/Break-Glass Matrix Pt.2 (directive item 48), Table 16 (RACI), HR9-9-1.</w:t>
            </w:r>
          </w:p>
        </w:tc>
        <w:tc>
          <w:tcPr>
            <w:tcW w:type="dxa" w:w="2400"/>
            <w:tcMar>
              <w:top w:type="dxa" w:w="60"/>
              <w:left w:type="dxa" w:w="80"/>
              <w:bottom w:type="dxa" w:w="60"/>
              <w:right w:type="dxa" w:w="80"/>
            </w:tcMar>
          </w:tcPr>
          <w:p>
            <w:r>
              <w:rPr>
                <w:b w:val="false"/>
                <w:bCs w:val="false"/>
                <w:sz w:val="17"/>
                <w:szCs w:val="17"/>
              </w:rPr>
              <w:t xml:space="preserve">NCIE-008 Ch.20/22; NCIE-006 break-glass boundary.</w:t>
            </w:r>
          </w:p>
        </w:tc>
        <w:tc>
          <w:tcPr>
            <w:tcW w:type="dxa" w:w="2400"/>
            <w:tcMar>
              <w:top w:type="dxa" w:w="60"/>
              <w:left w:type="dxa" w:w="80"/>
              <w:bottom w:type="dxa" w:w="60"/>
              <w:right w:type="dxa" w:w="80"/>
            </w:tcMar>
          </w:tcPr>
          <w:p>
            <w:r>
              <w:rPr>
                <w:b w:val="false"/>
                <w:bCs w:val="false"/>
                <w:sz w:val="17"/>
                <w:szCs w:val="17"/>
              </w:rPr>
              <w:t xml:space="preserve">HR9-9-1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10</w:t>
            </w:r>
          </w:p>
        </w:tc>
        <w:tc>
          <w:tcPr>
            <w:tcW w:type="dxa" w:w="3200"/>
            <w:tcMar>
              <w:top w:type="dxa" w:w="60"/>
              <w:left w:type="dxa" w:w="80"/>
              <w:bottom w:type="dxa" w:w="60"/>
              <w:right w:type="dxa" w:w="80"/>
            </w:tcMar>
          </w:tcPr>
          <w:p>
            <w:r>
              <w:rPr>
                <w:b w:val="false"/>
                <w:bCs w:val="false"/>
                <w:sz w:val="17"/>
                <w:szCs w:val="17"/>
              </w:rPr>
              <w:t xml:space="preserve">Session, token &amp; credential security; HR focus: session assurance/credential classes.</w:t>
            </w:r>
          </w:p>
        </w:tc>
        <w:tc>
          <w:tcPr>
            <w:tcW w:type="dxa" w:w="2600"/>
            <w:tcMar>
              <w:top w:type="dxa" w:w="60"/>
              <w:left w:type="dxa" w:w="80"/>
              <w:bottom w:type="dxa" w:w="60"/>
              <w:right w:type="dxa" w:w="80"/>
            </w:tcMar>
          </w:tcPr>
          <w:p>
            <w:r>
              <w:rPr>
                <w:b w:val="false"/>
                <w:bCs w:val="false"/>
                <w:sz w:val="17"/>
                <w:szCs w:val="17"/>
              </w:rPr>
              <w:t xml:space="preserve">§10.1-10.3, Table 17 (RACI), HR9-10-1.</w:t>
            </w:r>
          </w:p>
        </w:tc>
        <w:tc>
          <w:tcPr>
            <w:tcW w:type="dxa" w:w="2400"/>
            <w:tcMar>
              <w:top w:type="dxa" w:w="60"/>
              <w:left w:type="dxa" w:w="80"/>
              <w:bottom w:type="dxa" w:w="60"/>
              <w:right w:type="dxa" w:w="80"/>
            </w:tcMar>
          </w:tcPr>
          <w:p>
            <w:r>
              <w:rPr>
                <w:b w:val="false"/>
                <w:bCs w:val="false"/>
                <w:sz w:val="17"/>
                <w:szCs w:val="17"/>
              </w:rPr>
              <w:t xml:space="preserve">NCIE-004 IAM/secrets; NCIE-006/007 current authorization.</w:t>
            </w:r>
          </w:p>
        </w:tc>
        <w:tc>
          <w:tcPr>
            <w:tcW w:type="dxa" w:w="2400"/>
            <w:tcMar>
              <w:top w:type="dxa" w:w="60"/>
              <w:left w:type="dxa" w:w="80"/>
              <w:bottom w:type="dxa" w:w="60"/>
              <w:right w:type="dxa" w:w="80"/>
            </w:tcMar>
          </w:tcPr>
          <w:p>
            <w:r>
              <w:rPr>
                <w:b w:val="false"/>
                <w:bCs w:val="false"/>
                <w:sz w:val="17"/>
                <w:szCs w:val="17"/>
              </w:rPr>
              <w:t xml:space="preserve">HR9-10-1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11</w:t>
            </w:r>
          </w:p>
        </w:tc>
        <w:tc>
          <w:tcPr>
            <w:tcW w:type="dxa" w:w="3200"/>
            <w:tcMar>
              <w:top w:type="dxa" w:w="60"/>
              <w:left w:type="dxa" w:w="80"/>
              <w:bottom w:type="dxa" w:w="60"/>
              <w:right w:type="dxa" w:w="80"/>
            </w:tcMar>
          </w:tcPr>
          <w:p>
            <w:r>
              <w:rPr>
                <w:b w:val="false"/>
                <w:bCs w:val="false"/>
                <w:sz w:val="17"/>
                <w:szCs w:val="17"/>
              </w:rPr>
              <w:t xml:space="preserve">Secrets management &amp; key governance interface; HR focus: custodial authority/exceptions.</w:t>
            </w:r>
          </w:p>
        </w:tc>
        <w:tc>
          <w:tcPr>
            <w:tcW w:type="dxa" w:w="2600"/>
            <w:tcMar>
              <w:top w:type="dxa" w:w="60"/>
              <w:left w:type="dxa" w:w="80"/>
              <w:bottom w:type="dxa" w:w="60"/>
              <w:right w:type="dxa" w:w="80"/>
            </w:tcMar>
          </w:tcPr>
          <w:p>
            <w:r>
              <w:rPr>
                <w:b w:val="false"/>
                <w:bCs w:val="false"/>
                <w:sz w:val="17"/>
                <w:szCs w:val="17"/>
              </w:rPr>
              <w:t xml:space="preserve">§11.1-11.2, Table 18 (RACI), HR9-11-1.</w:t>
            </w:r>
          </w:p>
        </w:tc>
        <w:tc>
          <w:tcPr>
            <w:tcW w:type="dxa" w:w="2400"/>
            <w:tcMar>
              <w:top w:type="dxa" w:w="60"/>
              <w:left w:type="dxa" w:w="80"/>
              <w:bottom w:type="dxa" w:w="60"/>
              <w:right w:type="dxa" w:w="80"/>
            </w:tcMar>
          </w:tcPr>
          <w:p>
            <w:r>
              <w:rPr>
                <w:b w:val="false"/>
                <w:bCs w:val="false"/>
                <w:sz w:val="17"/>
                <w:szCs w:val="17"/>
              </w:rPr>
              <w:t xml:space="preserve">NCIE-004 secrets architecture; NCIE-008 policy/SoD.</w:t>
            </w:r>
          </w:p>
        </w:tc>
        <w:tc>
          <w:tcPr>
            <w:tcW w:type="dxa" w:w="2400"/>
            <w:tcMar>
              <w:top w:type="dxa" w:w="60"/>
              <w:left w:type="dxa" w:w="80"/>
              <w:bottom w:type="dxa" w:w="60"/>
              <w:right w:type="dxa" w:w="80"/>
            </w:tcMar>
          </w:tcPr>
          <w:p>
            <w:r>
              <w:rPr>
                <w:b w:val="false"/>
                <w:bCs w:val="false"/>
                <w:sz w:val="17"/>
                <w:szCs w:val="17"/>
              </w:rPr>
              <w:t xml:space="preserve">HR9-11-1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12</w:t>
            </w:r>
          </w:p>
        </w:tc>
        <w:tc>
          <w:tcPr>
            <w:tcW w:type="dxa" w:w="3200"/>
            <w:tcMar>
              <w:top w:type="dxa" w:w="60"/>
              <w:left w:type="dxa" w:w="80"/>
              <w:bottom w:type="dxa" w:w="60"/>
              <w:right w:type="dxa" w:w="80"/>
            </w:tcMar>
          </w:tcPr>
          <w:p>
            <w:r>
              <w:rPr>
                <w:b w:val="false"/>
                <w:bCs w:val="false"/>
                <w:sz w:val="17"/>
                <w:szCs w:val="17"/>
              </w:rPr>
              <w:t xml:space="preserve">Cryptography &amp; data protection; HR focus: cryptographic policy.</w:t>
            </w:r>
          </w:p>
        </w:tc>
        <w:tc>
          <w:tcPr>
            <w:tcW w:type="dxa" w:w="2600"/>
            <w:tcMar>
              <w:top w:type="dxa" w:w="60"/>
              <w:left w:type="dxa" w:w="80"/>
              <w:bottom w:type="dxa" w:w="60"/>
              <w:right w:type="dxa" w:w="80"/>
            </w:tcMar>
          </w:tcPr>
          <w:p>
            <w:r>
              <w:rPr>
                <w:b w:val="false"/>
                <w:bCs w:val="false"/>
                <w:sz w:val="17"/>
                <w:szCs w:val="17"/>
              </w:rPr>
              <w:t xml:space="preserve">§12.1-12.2, Table 19 (RACI), HR9-12-1.</w:t>
            </w:r>
          </w:p>
        </w:tc>
        <w:tc>
          <w:tcPr>
            <w:tcW w:type="dxa" w:w="2400"/>
            <w:tcMar>
              <w:top w:type="dxa" w:w="60"/>
              <w:left w:type="dxa" w:w="80"/>
              <w:bottom w:type="dxa" w:w="60"/>
              <w:right w:type="dxa" w:w="80"/>
            </w:tcMar>
          </w:tcPr>
          <w:p>
            <w:r>
              <w:rPr>
                <w:b w:val="false"/>
                <w:bCs w:val="false"/>
                <w:sz w:val="17"/>
                <w:szCs w:val="17"/>
              </w:rPr>
              <w:t xml:space="preserve">NCIE-003 sensitive fields; NCIE-004; NCIE-006.</w:t>
            </w:r>
          </w:p>
        </w:tc>
        <w:tc>
          <w:tcPr>
            <w:tcW w:type="dxa" w:w="2400"/>
            <w:tcMar>
              <w:top w:type="dxa" w:w="60"/>
              <w:left w:type="dxa" w:w="80"/>
              <w:bottom w:type="dxa" w:w="60"/>
              <w:right w:type="dxa" w:w="80"/>
            </w:tcMar>
          </w:tcPr>
          <w:p>
            <w:r>
              <w:rPr>
                <w:b w:val="false"/>
                <w:bCs w:val="false"/>
                <w:sz w:val="17"/>
                <w:szCs w:val="17"/>
              </w:rPr>
              <w:t xml:space="preserve">HR9-12-1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13</w:t>
            </w:r>
          </w:p>
        </w:tc>
        <w:tc>
          <w:tcPr>
            <w:tcW w:type="dxa" w:w="3200"/>
            <w:tcMar>
              <w:top w:type="dxa" w:w="60"/>
              <w:left w:type="dxa" w:w="80"/>
              <w:bottom w:type="dxa" w:w="60"/>
              <w:right w:type="dxa" w:w="80"/>
            </w:tcMar>
          </w:tcPr>
          <w:p>
            <w:r>
              <w:rPr>
                <w:b w:val="false"/>
                <w:bCs w:val="false"/>
                <w:sz w:val="17"/>
                <w:szCs w:val="17"/>
              </w:rPr>
              <w:t xml:space="preserve">Network Zero Trust &amp; service-to-service security; HR focus: trust zones/egress classes.</w:t>
            </w:r>
          </w:p>
        </w:tc>
        <w:tc>
          <w:tcPr>
            <w:tcW w:type="dxa" w:w="2600"/>
            <w:tcMar>
              <w:top w:type="dxa" w:w="60"/>
              <w:left w:type="dxa" w:w="80"/>
              <w:bottom w:type="dxa" w:w="60"/>
              <w:right w:type="dxa" w:w="80"/>
            </w:tcMar>
          </w:tcPr>
          <w:p>
            <w:r>
              <w:rPr>
                <w:b w:val="false"/>
                <w:bCs w:val="false"/>
                <w:sz w:val="17"/>
                <w:szCs w:val="17"/>
              </w:rPr>
              <w:t xml:space="preserve">§13.1-13.2, Table 20 (RACI), HR9-13-1.</w:t>
            </w:r>
          </w:p>
        </w:tc>
        <w:tc>
          <w:tcPr>
            <w:tcW w:type="dxa" w:w="2400"/>
            <w:tcMar>
              <w:top w:type="dxa" w:w="60"/>
              <w:left w:type="dxa" w:w="80"/>
              <w:bottom w:type="dxa" w:w="60"/>
              <w:right w:type="dxa" w:w="80"/>
            </w:tcMar>
          </w:tcPr>
          <w:p>
            <w:r>
              <w:rPr>
                <w:b w:val="false"/>
                <w:bCs w:val="false"/>
                <w:sz w:val="17"/>
                <w:szCs w:val="17"/>
              </w:rPr>
              <w:t xml:space="preserve">NCIE-004 network controls; NCIE-007 Agent egress.</w:t>
            </w:r>
          </w:p>
        </w:tc>
        <w:tc>
          <w:tcPr>
            <w:tcW w:type="dxa" w:w="2400"/>
            <w:tcMar>
              <w:top w:type="dxa" w:w="60"/>
              <w:left w:type="dxa" w:w="80"/>
              <w:bottom w:type="dxa" w:w="60"/>
              <w:right w:type="dxa" w:w="80"/>
            </w:tcMar>
          </w:tcPr>
          <w:p>
            <w:r>
              <w:rPr>
                <w:b w:val="false"/>
                <w:bCs w:val="false"/>
                <w:sz w:val="17"/>
                <w:szCs w:val="17"/>
              </w:rPr>
              <w:t xml:space="preserve">HR9-13-1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14</w:t>
            </w:r>
          </w:p>
        </w:tc>
        <w:tc>
          <w:tcPr>
            <w:tcW w:type="dxa" w:w="3200"/>
            <w:tcMar>
              <w:top w:type="dxa" w:w="60"/>
              <w:left w:type="dxa" w:w="80"/>
              <w:bottom w:type="dxa" w:w="60"/>
              <w:right w:type="dxa" w:w="80"/>
            </w:tcMar>
          </w:tcPr>
          <w:p>
            <w:r>
              <w:rPr>
                <w:b w:val="false"/>
                <w:bCs w:val="false"/>
                <w:sz w:val="17"/>
                <w:szCs w:val="17"/>
              </w:rPr>
              <w:t xml:space="preserve">Agent runtime &amp; sandbox security; HR focus: Factory ceilings/generated-code gate.</w:t>
            </w:r>
          </w:p>
        </w:tc>
        <w:tc>
          <w:tcPr>
            <w:tcW w:type="dxa" w:w="2600"/>
            <w:tcMar>
              <w:top w:type="dxa" w:w="60"/>
              <w:left w:type="dxa" w:w="80"/>
              <w:bottom w:type="dxa" w:w="60"/>
              <w:right w:type="dxa" w:w="80"/>
            </w:tcMar>
          </w:tcPr>
          <w:p>
            <w:r>
              <w:rPr>
                <w:b w:val="false"/>
                <w:bCs w:val="false"/>
                <w:sz w:val="17"/>
                <w:szCs w:val="17"/>
              </w:rPr>
              <w:t xml:space="preserve">§14.1-14.2, Table 21 (RACI), HR9-14-1.</w:t>
            </w:r>
          </w:p>
        </w:tc>
        <w:tc>
          <w:tcPr>
            <w:tcW w:type="dxa" w:w="2400"/>
            <w:tcMar>
              <w:top w:type="dxa" w:w="60"/>
              <w:left w:type="dxa" w:w="80"/>
              <w:bottom w:type="dxa" w:w="60"/>
              <w:right w:type="dxa" w:w="80"/>
            </w:tcMar>
          </w:tcPr>
          <w:p>
            <w:r>
              <w:rPr>
                <w:b w:val="false"/>
                <w:bCs w:val="false"/>
                <w:sz w:val="17"/>
                <w:szCs w:val="17"/>
              </w:rPr>
              <w:t xml:space="preserve">NCIE-004 Agent Factory/runtime; NCIE-006 Context; NCIE-007 synthesis.</w:t>
            </w:r>
          </w:p>
        </w:tc>
        <w:tc>
          <w:tcPr>
            <w:tcW w:type="dxa" w:w="2400"/>
            <w:tcMar>
              <w:top w:type="dxa" w:w="60"/>
              <w:left w:type="dxa" w:w="80"/>
              <w:bottom w:type="dxa" w:w="60"/>
              <w:right w:type="dxa" w:w="80"/>
            </w:tcMar>
          </w:tcPr>
          <w:p>
            <w:r>
              <w:rPr>
                <w:b w:val="false"/>
                <w:bCs w:val="false"/>
                <w:sz w:val="17"/>
                <w:szCs w:val="17"/>
              </w:rPr>
              <w:t xml:space="preserve">HR9-14-1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15</w:t>
            </w:r>
          </w:p>
        </w:tc>
        <w:tc>
          <w:tcPr>
            <w:tcW w:type="dxa" w:w="3200"/>
            <w:tcMar>
              <w:top w:type="dxa" w:w="60"/>
              <w:left w:type="dxa" w:w="80"/>
              <w:bottom w:type="dxa" w:w="60"/>
              <w:right w:type="dxa" w:w="80"/>
            </w:tcMar>
          </w:tcPr>
          <w:p>
            <w:r>
              <w:rPr>
                <w:b w:val="false"/>
                <w:bCs w:val="false"/>
                <w:sz w:val="17"/>
                <w:szCs w:val="17"/>
              </w:rPr>
              <w:t xml:space="preserve">Model &amp; provider security; HR focus: provider-security acceptance criteria.</w:t>
            </w:r>
          </w:p>
        </w:tc>
        <w:tc>
          <w:tcPr>
            <w:tcW w:type="dxa" w:w="2600"/>
            <w:tcMar>
              <w:top w:type="dxa" w:w="60"/>
              <w:left w:type="dxa" w:w="80"/>
              <w:bottom w:type="dxa" w:w="60"/>
              <w:right w:type="dxa" w:w="80"/>
            </w:tcMar>
          </w:tcPr>
          <w:p>
            <w:r>
              <w:rPr>
                <w:b w:val="false"/>
                <w:bCs w:val="false"/>
                <w:sz w:val="17"/>
                <w:szCs w:val="17"/>
              </w:rPr>
              <w:t xml:space="preserve">§15.1-15.2, Table 22 (RACI), HR9-15-1.</w:t>
            </w:r>
          </w:p>
        </w:tc>
        <w:tc>
          <w:tcPr>
            <w:tcW w:type="dxa" w:w="2400"/>
            <w:tcMar>
              <w:top w:type="dxa" w:w="60"/>
              <w:left w:type="dxa" w:w="80"/>
              <w:bottom w:type="dxa" w:w="60"/>
              <w:right w:type="dxa" w:w="80"/>
            </w:tcMar>
          </w:tcPr>
          <w:p>
            <w:r>
              <w:rPr>
                <w:b w:val="false"/>
                <w:bCs w:val="false"/>
                <w:sz w:val="17"/>
                <w:szCs w:val="17"/>
              </w:rPr>
              <w:t xml:space="preserve">NCIE-007 Model Gateway; NCIE-006 Context; NCIE-008 model governance.</w:t>
            </w:r>
          </w:p>
        </w:tc>
        <w:tc>
          <w:tcPr>
            <w:tcW w:type="dxa" w:w="2400"/>
            <w:tcMar>
              <w:top w:type="dxa" w:w="60"/>
              <w:left w:type="dxa" w:w="80"/>
              <w:bottom w:type="dxa" w:w="60"/>
              <w:right w:type="dxa" w:w="80"/>
            </w:tcMar>
          </w:tcPr>
          <w:p>
            <w:r>
              <w:rPr>
                <w:b w:val="false"/>
                <w:bCs w:val="false"/>
                <w:sz w:val="17"/>
                <w:szCs w:val="17"/>
              </w:rPr>
              <w:t xml:space="preserve">HR9-15-1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16</w:t>
            </w:r>
          </w:p>
        </w:tc>
        <w:tc>
          <w:tcPr>
            <w:tcW w:type="dxa" w:w="3200"/>
            <w:tcMar>
              <w:top w:type="dxa" w:w="60"/>
              <w:left w:type="dxa" w:w="80"/>
              <w:bottom w:type="dxa" w:w="60"/>
              <w:right w:type="dxa" w:w="80"/>
            </w:tcMar>
          </w:tcPr>
          <w:p>
            <w:r>
              <w:rPr>
                <w:b w:val="false"/>
                <w:bCs w:val="false"/>
                <w:sz w:val="17"/>
                <w:szCs w:val="17"/>
              </w:rPr>
              <w:t xml:space="preserve">Tool, connector &amp; external-system security; HR focus: high-risk Tool classes.</w:t>
            </w:r>
          </w:p>
        </w:tc>
        <w:tc>
          <w:tcPr>
            <w:tcW w:type="dxa" w:w="2600"/>
            <w:tcMar>
              <w:top w:type="dxa" w:w="60"/>
              <w:left w:type="dxa" w:w="80"/>
              <w:bottom w:type="dxa" w:w="60"/>
              <w:right w:type="dxa" w:w="80"/>
            </w:tcMar>
          </w:tcPr>
          <w:p>
            <w:r>
              <w:rPr>
                <w:b w:val="false"/>
                <w:bCs w:val="false"/>
                <w:sz w:val="17"/>
                <w:szCs w:val="17"/>
              </w:rPr>
              <w:t xml:space="preserve">§16.1-16.2, Table 23 (RACI), HR9-16-1.</w:t>
            </w:r>
          </w:p>
        </w:tc>
        <w:tc>
          <w:tcPr>
            <w:tcW w:type="dxa" w:w="2400"/>
            <w:tcMar>
              <w:top w:type="dxa" w:w="60"/>
              <w:left w:type="dxa" w:w="80"/>
              <w:bottom w:type="dxa" w:w="60"/>
              <w:right w:type="dxa" w:w="80"/>
            </w:tcMar>
          </w:tcPr>
          <w:p>
            <w:r>
              <w:rPr>
                <w:b w:val="false"/>
                <w:bCs w:val="false"/>
                <w:sz w:val="17"/>
                <w:szCs w:val="17"/>
              </w:rPr>
              <w:t xml:space="preserve">NCIE-004 Tool Gateway; NCIE-007 Tools; NCIE-008 consequential actions.</w:t>
            </w:r>
          </w:p>
        </w:tc>
        <w:tc>
          <w:tcPr>
            <w:tcW w:type="dxa" w:w="2400"/>
            <w:tcMar>
              <w:top w:type="dxa" w:w="60"/>
              <w:left w:type="dxa" w:w="80"/>
              <w:bottom w:type="dxa" w:w="60"/>
              <w:right w:type="dxa" w:w="80"/>
            </w:tcMar>
          </w:tcPr>
          <w:p>
            <w:r>
              <w:rPr>
                <w:b w:val="false"/>
                <w:bCs w:val="false"/>
                <w:sz w:val="17"/>
                <w:szCs w:val="17"/>
              </w:rPr>
              <w:t xml:space="preserve">HR9-16-1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17</w:t>
            </w:r>
          </w:p>
        </w:tc>
        <w:tc>
          <w:tcPr>
            <w:tcW w:type="dxa" w:w="3200"/>
            <w:tcMar>
              <w:top w:type="dxa" w:w="60"/>
              <w:left w:type="dxa" w:w="80"/>
              <w:bottom w:type="dxa" w:w="60"/>
              <w:right w:type="dxa" w:w="80"/>
            </w:tcMar>
          </w:tcPr>
          <w:p>
            <w:r>
              <w:rPr>
                <w:b w:val="false"/>
                <w:bCs w:val="false"/>
                <w:sz w:val="17"/>
                <w:szCs w:val="17"/>
              </w:rPr>
              <w:t xml:space="preserve">Context, Memory &amp; retrieval security; HR focus: cross-context exception approval.</w:t>
            </w:r>
          </w:p>
        </w:tc>
        <w:tc>
          <w:tcPr>
            <w:tcW w:type="dxa" w:w="2600"/>
            <w:tcMar>
              <w:top w:type="dxa" w:w="60"/>
              <w:left w:type="dxa" w:w="80"/>
              <w:bottom w:type="dxa" w:w="60"/>
              <w:right w:type="dxa" w:w="80"/>
            </w:tcMar>
          </w:tcPr>
          <w:p>
            <w:r>
              <w:rPr>
                <w:b w:val="false"/>
                <w:bCs w:val="false"/>
                <w:sz w:val="17"/>
                <w:szCs w:val="17"/>
              </w:rPr>
              <w:t xml:space="preserve">§17.1-17.3, Table 24 (RACI), HR9-17-1.</w:t>
            </w:r>
          </w:p>
        </w:tc>
        <w:tc>
          <w:tcPr>
            <w:tcW w:type="dxa" w:w="2400"/>
            <w:tcMar>
              <w:top w:type="dxa" w:w="60"/>
              <w:left w:type="dxa" w:w="80"/>
              <w:bottom w:type="dxa" w:w="60"/>
              <w:right w:type="dxa" w:w="80"/>
            </w:tcMar>
          </w:tcPr>
          <w:p>
            <w:r>
              <w:rPr>
                <w:b w:val="false"/>
                <w:bCs w:val="false"/>
                <w:sz w:val="17"/>
                <w:szCs w:val="17"/>
              </w:rPr>
              <w:t xml:space="preserve">NCIE-006 v1.2; NCIE-007 Ch.17; NCIE-008 Memory governance.</w:t>
            </w:r>
          </w:p>
        </w:tc>
        <w:tc>
          <w:tcPr>
            <w:tcW w:type="dxa" w:w="2400"/>
            <w:tcMar>
              <w:top w:type="dxa" w:w="60"/>
              <w:left w:type="dxa" w:w="80"/>
              <w:bottom w:type="dxa" w:w="60"/>
              <w:right w:type="dxa" w:w="80"/>
            </w:tcMar>
          </w:tcPr>
          <w:p>
            <w:r>
              <w:rPr>
                <w:b w:val="false"/>
                <w:bCs w:val="false"/>
                <w:sz w:val="17"/>
                <w:szCs w:val="17"/>
              </w:rPr>
              <w:t xml:space="preserve">HR9-17-1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18</w:t>
            </w:r>
          </w:p>
        </w:tc>
        <w:tc>
          <w:tcPr>
            <w:tcW w:type="dxa" w:w="3200"/>
            <w:tcMar>
              <w:top w:type="dxa" w:w="60"/>
              <w:left w:type="dxa" w:w="80"/>
              <w:bottom w:type="dxa" w:w="60"/>
              <w:right w:type="dxa" w:w="80"/>
            </w:tcMar>
          </w:tcPr>
          <w:p>
            <w:r>
              <w:rPr>
                <w:b w:val="false"/>
                <w:bCs w:val="false"/>
                <w:sz w:val="17"/>
                <w:szCs w:val="17"/>
              </w:rPr>
              <w:t xml:space="preserve">Data classification, DLP &amp; disclosure controls; HR focus: DLP policy/disclosure authorities.</w:t>
            </w:r>
          </w:p>
        </w:tc>
        <w:tc>
          <w:tcPr>
            <w:tcW w:type="dxa" w:w="2600"/>
            <w:tcMar>
              <w:top w:type="dxa" w:w="60"/>
              <w:left w:type="dxa" w:w="80"/>
              <w:bottom w:type="dxa" w:w="60"/>
              <w:right w:type="dxa" w:w="80"/>
            </w:tcMar>
          </w:tcPr>
          <w:p>
            <w:r>
              <w:rPr>
                <w:b w:val="false"/>
                <w:bCs w:val="false"/>
                <w:sz w:val="17"/>
                <w:szCs w:val="17"/>
              </w:rPr>
              <w:t xml:space="preserve">§18.1-18.3, Table 25 Data-Flow Security Matrix (directive item 48), Table 26 (RACI), HR9-18-1.</w:t>
            </w:r>
          </w:p>
        </w:tc>
        <w:tc>
          <w:tcPr>
            <w:tcW w:type="dxa" w:w="2400"/>
            <w:tcMar>
              <w:top w:type="dxa" w:w="60"/>
              <w:left w:type="dxa" w:w="80"/>
              <w:bottom w:type="dxa" w:w="60"/>
              <w:right w:type="dxa" w:w="80"/>
            </w:tcMar>
          </w:tcPr>
          <w:p>
            <w:r>
              <w:rPr>
                <w:b w:val="false"/>
                <w:bCs w:val="false"/>
                <w:sz w:val="17"/>
                <w:szCs w:val="17"/>
              </w:rPr>
              <w:t xml:space="preserve">NCIE-003 classification; NCIE-005 voice/privacy; NCIE-006; NCIE-008.</w:t>
            </w:r>
          </w:p>
        </w:tc>
        <w:tc>
          <w:tcPr>
            <w:tcW w:type="dxa" w:w="2400"/>
            <w:tcMar>
              <w:top w:type="dxa" w:w="60"/>
              <w:left w:type="dxa" w:w="80"/>
              <w:bottom w:type="dxa" w:w="60"/>
              <w:right w:type="dxa" w:w="80"/>
            </w:tcMar>
          </w:tcPr>
          <w:p>
            <w:r>
              <w:rPr>
                <w:b w:val="false"/>
                <w:bCs w:val="false"/>
                <w:sz w:val="17"/>
                <w:szCs w:val="17"/>
              </w:rPr>
              <w:t xml:space="preserve">HR9-18-1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19</w:t>
            </w:r>
          </w:p>
        </w:tc>
        <w:tc>
          <w:tcPr>
            <w:tcW w:type="dxa" w:w="3200"/>
            <w:tcMar>
              <w:top w:type="dxa" w:w="60"/>
              <w:left w:type="dxa" w:w="80"/>
              <w:bottom w:type="dxa" w:w="60"/>
              <w:right w:type="dxa" w:w="80"/>
            </w:tcMar>
          </w:tcPr>
          <w:p>
            <w:r>
              <w:rPr>
                <w:b w:val="false"/>
                <w:bCs w:val="false"/>
                <w:sz w:val="17"/>
                <w:szCs w:val="17"/>
              </w:rPr>
              <w:t xml:space="preserve">Protected identity &amp; privacy security; HR focus: protected-identity access classes.</w:t>
            </w:r>
          </w:p>
        </w:tc>
        <w:tc>
          <w:tcPr>
            <w:tcW w:type="dxa" w:w="2600"/>
            <w:tcMar>
              <w:top w:type="dxa" w:w="60"/>
              <w:left w:type="dxa" w:w="80"/>
              <w:bottom w:type="dxa" w:w="60"/>
              <w:right w:type="dxa" w:w="80"/>
            </w:tcMar>
          </w:tcPr>
          <w:p>
            <w:r>
              <w:rPr>
                <w:b w:val="false"/>
                <w:bCs w:val="false"/>
                <w:sz w:val="17"/>
                <w:szCs w:val="17"/>
              </w:rPr>
              <w:t xml:space="preserve">§19.1-19.2, Table 27 (RACI), HR9-19-1.</w:t>
            </w:r>
          </w:p>
        </w:tc>
        <w:tc>
          <w:tcPr>
            <w:tcW w:type="dxa" w:w="2400"/>
            <w:tcMar>
              <w:top w:type="dxa" w:w="60"/>
              <w:left w:type="dxa" w:w="80"/>
              <w:bottom w:type="dxa" w:w="60"/>
              <w:right w:type="dxa" w:w="80"/>
            </w:tcMar>
          </w:tcPr>
          <w:p>
            <w:r>
              <w:rPr>
                <w:b w:val="false"/>
                <w:bCs w:val="false"/>
                <w:sz w:val="17"/>
                <w:szCs w:val="17"/>
              </w:rPr>
              <w:t xml:space="preserve">NCIE-003 protected fields; NCIE-005/006 privacy; NCIE-008 Ch.20.</w:t>
            </w:r>
          </w:p>
        </w:tc>
        <w:tc>
          <w:tcPr>
            <w:tcW w:type="dxa" w:w="2400"/>
            <w:tcMar>
              <w:top w:type="dxa" w:w="60"/>
              <w:left w:type="dxa" w:w="80"/>
              <w:bottom w:type="dxa" w:w="60"/>
              <w:right w:type="dxa" w:w="80"/>
            </w:tcMar>
          </w:tcPr>
          <w:p>
            <w:r>
              <w:rPr>
                <w:b w:val="false"/>
                <w:bCs w:val="false"/>
                <w:sz w:val="17"/>
                <w:szCs w:val="17"/>
              </w:rPr>
              <w:t xml:space="preserve">HR9-19-1 preserved verbatim, reclassified SECURITY/SOVEREIGNTY CONFIRMATION REQUIRED,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20</w:t>
            </w:r>
          </w:p>
        </w:tc>
        <w:tc>
          <w:tcPr>
            <w:tcW w:type="dxa" w:w="3200"/>
            <w:tcMar>
              <w:top w:type="dxa" w:w="60"/>
              <w:left w:type="dxa" w:w="80"/>
              <w:bottom w:type="dxa" w:w="60"/>
              <w:right w:type="dxa" w:w="80"/>
            </w:tcMar>
          </w:tcPr>
          <w:p>
            <w:r>
              <w:rPr>
                <w:b w:val="false"/>
                <w:bCs w:val="false"/>
                <w:sz w:val="17"/>
                <w:szCs w:val="17"/>
              </w:rPr>
              <w:t xml:space="preserve">Security logging, audit &amp; provenance interface; HR focus: log retention/access/assurance.</w:t>
            </w:r>
          </w:p>
        </w:tc>
        <w:tc>
          <w:tcPr>
            <w:tcW w:type="dxa" w:w="2600"/>
            <w:tcMar>
              <w:top w:type="dxa" w:w="60"/>
              <w:left w:type="dxa" w:w="80"/>
              <w:bottom w:type="dxa" w:w="60"/>
              <w:right w:type="dxa" w:w="80"/>
            </w:tcMar>
          </w:tcPr>
          <w:p>
            <w:r>
              <w:rPr>
                <w:b w:val="false"/>
                <w:bCs w:val="false"/>
                <w:sz w:val="17"/>
                <w:szCs w:val="17"/>
              </w:rPr>
              <w:t xml:space="preserve">§20.1-20.2, Table 28 (RACI), HR9-20-1.</w:t>
            </w:r>
          </w:p>
        </w:tc>
        <w:tc>
          <w:tcPr>
            <w:tcW w:type="dxa" w:w="2400"/>
            <w:tcMar>
              <w:top w:type="dxa" w:w="60"/>
              <w:left w:type="dxa" w:w="80"/>
              <w:bottom w:type="dxa" w:w="60"/>
              <w:right w:type="dxa" w:w="80"/>
            </w:tcMar>
          </w:tcPr>
          <w:p>
            <w:r>
              <w:rPr>
                <w:b w:val="false"/>
                <w:bCs w:val="false"/>
                <w:sz w:val="17"/>
                <w:szCs w:val="17"/>
              </w:rPr>
              <w:t xml:space="preserve">NCIE-003 provenance; NCIE-006 audit; NCIE-007 observability; NCIE-008 assurance.</w:t>
            </w:r>
          </w:p>
        </w:tc>
        <w:tc>
          <w:tcPr>
            <w:tcW w:type="dxa" w:w="2400"/>
            <w:tcMar>
              <w:top w:type="dxa" w:w="60"/>
              <w:left w:type="dxa" w:w="80"/>
              <w:bottom w:type="dxa" w:w="60"/>
              <w:right w:type="dxa" w:w="80"/>
            </w:tcMar>
          </w:tcPr>
          <w:p>
            <w:r>
              <w:rPr>
                <w:b w:val="false"/>
                <w:bCs w:val="false"/>
                <w:sz w:val="17"/>
                <w:szCs w:val="17"/>
              </w:rPr>
              <w:t xml:space="preserve">HR9-20-1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21</w:t>
            </w:r>
          </w:p>
        </w:tc>
        <w:tc>
          <w:tcPr>
            <w:tcW w:type="dxa" w:w="3200"/>
            <w:tcMar>
              <w:top w:type="dxa" w:w="60"/>
              <w:left w:type="dxa" w:w="80"/>
              <w:bottom w:type="dxa" w:w="60"/>
              <w:right w:type="dxa" w:w="80"/>
            </w:tcMar>
          </w:tcPr>
          <w:p>
            <w:r>
              <w:rPr>
                <w:b w:val="false"/>
                <w:bCs w:val="false"/>
                <w:sz w:val="17"/>
                <w:szCs w:val="17"/>
              </w:rPr>
              <w:t xml:space="preserve">Detection, monitoring &amp; security analytics; HR focus: monitoring ownership/severity governance.</w:t>
            </w:r>
          </w:p>
        </w:tc>
        <w:tc>
          <w:tcPr>
            <w:tcW w:type="dxa" w:w="2600"/>
            <w:tcMar>
              <w:top w:type="dxa" w:w="60"/>
              <w:left w:type="dxa" w:w="80"/>
              <w:bottom w:type="dxa" w:w="60"/>
              <w:right w:type="dxa" w:w="80"/>
            </w:tcMar>
          </w:tcPr>
          <w:p>
            <w:r>
              <w:rPr>
                <w:b w:val="false"/>
                <w:bCs w:val="false"/>
                <w:sz w:val="17"/>
                <w:szCs w:val="17"/>
              </w:rPr>
              <w:t xml:space="preserve">§21.1-21.2, Table 29 (RACI), HR9-21-1.</w:t>
            </w:r>
          </w:p>
        </w:tc>
        <w:tc>
          <w:tcPr>
            <w:tcW w:type="dxa" w:w="2400"/>
            <w:tcMar>
              <w:top w:type="dxa" w:w="60"/>
              <w:left w:type="dxa" w:w="80"/>
              <w:bottom w:type="dxa" w:w="60"/>
              <w:right w:type="dxa" w:w="80"/>
            </w:tcMar>
          </w:tcPr>
          <w:p>
            <w:r>
              <w:rPr>
                <w:b w:val="false"/>
                <w:bCs w:val="false"/>
                <w:sz w:val="17"/>
                <w:szCs w:val="17"/>
              </w:rPr>
              <w:t xml:space="preserve">NCIE-004 observability; NCIE-007 operations; NCIE-008 assurance.</w:t>
            </w:r>
          </w:p>
        </w:tc>
        <w:tc>
          <w:tcPr>
            <w:tcW w:type="dxa" w:w="2400"/>
            <w:tcMar>
              <w:top w:type="dxa" w:w="60"/>
              <w:left w:type="dxa" w:w="80"/>
              <w:bottom w:type="dxa" w:w="60"/>
              <w:right w:type="dxa" w:w="80"/>
            </w:tcMar>
          </w:tcPr>
          <w:p>
            <w:r>
              <w:rPr>
                <w:b w:val="false"/>
                <w:bCs w:val="false"/>
                <w:sz w:val="17"/>
                <w:szCs w:val="17"/>
              </w:rPr>
              <w:t xml:space="preserve">HR9-21-1 preserved verbatim, Non-Blocking.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22</w:t>
            </w:r>
          </w:p>
        </w:tc>
        <w:tc>
          <w:tcPr>
            <w:tcW w:type="dxa" w:w="3200"/>
            <w:tcMar>
              <w:top w:type="dxa" w:w="60"/>
              <w:left w:type="dxa" w:w="80"/>
              <w:bottom w:type="dxa" w:w="60"/>
              <w:right w:type="dxa" w:w="80"/>
            </w:tcMar>
          </w:tcPr>
          <w:p>
            <w:r>
              <w:rPr>
                <w:b w:val="false"/>
                <w:bCs w:val="false"/>
                <w:sz w:val="17"/>
                <w:szCs w:val="17"/>
              </w:rPr>
              <w:t xml:space="preserve">Security incident response &amp; containment; HR focus: incident command/containment rights.</w:t>
            </w:r>
          </w:p>
        </w:tc>
        <w:tc>
          <w:tcPr>
            <w:tcW w:type="dxa" w:w="2600"/>
            <w:tcMar>
              <w:top w:type="dxa" w:w="60"/>
              <w:left w:type="dxa" w:w="80"/>
              <w:bottom w:type="dxa" w:w="60"/>
              <w:right w:type="dxa" w:w="80"/>
            </w:tcMar>
          </w:tcPr>
          <w:p>
            <w:r>
              <w:rPr>
                <w:b w:val="false"/>
                <w:bCs w:val="false"/>
                <w:sz w:val="17"/>
                <w:szCs w:val="17"/>
              </w:rPr>
              <w:t xml:space="preserve">§22.1-22.2, Table 30 (RACI), HR9-22-1.</w:t>
            </w:r>
          </w:p>
        </w:tc>
        <w:tc>
          <w:tcPr>
            <w:tcW w:type="dxa" w:w="2400"/>
            <w:tcMar>
              <w:top w:type="dxa" w:w="60"/>
              <w:left w:type="dxa" w:w="80"/>
              <w:bottom w:type="dxa" w:w="60"/>
              <w:right w:type="dxa" w:w="80"/>
            </w:tcMar>
          </w:tcPr>
          <w:p>
            <w:r>
              <w:rPr>
                <w:b w:val="false"/>
                <w:bCs w:val="false"/>
                <w:sz w:val="17"/>
                <w:szCs w:val="17"/>
              </w:rPr>
              <w:t xml:space="preserve">NCIE-008 emergency authority; NCIE-004 resilience; NCIE-007 lifecycle.</w:t>
            </w:r>
          </w:p>
        </w:tc>
        <w:tc>
          <w:tcPr>
            <w:tcW w:type="dxa" w:w="2400"/>
            <w:tcMar>
              <w:top w:type="dxa" w:w="60"/>
              <w:left w:type="dxa" w:w="80"/>
              <w:bottom w:type="dxa" w:w="60"/>
              <w:right w:type="dxa" w:w="80"/>
            </w:tcMar>
          </w:tcPr>
          <w:p>
            <w:r>
              <w:rPr>
                <w:b w:val="false"/>
                <w:bCs w:val="false"/>
                <w:sz w:val="17"/>
                <w:szCs w:val="17"/>
              </w:rPr>
              <w:t xml:space="preserve">HR9-22-1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23</w:t>
            </w:r>
          </w:p>
        </w:tc>
        <w:tc>
          <w:tcPr>
            <w:tcW w:type="dxa" w:w="3200"/>
            <w:tcMar>
              <w:top w:type="dxa" w:w="60"/>
              <w:left w:type="dxa" w:w="80"/>
              <w:bottom w:type="dxa" w:w="60"/>
              <w:right w:type="dxa" w:w="80"/>
            </w:tcMar>
          </w:tcPr>
          <w:p>
            <w:r>
              <w:rPr>
                <w:b w:val="false"/>
                <w:bCs w:val="false"/>
                <w:sz w:val="17"/>
                <w:szCs w:val="17"/>
              </w:rPr>
              <w:t xml:space="preserve">Supply-chain, dependency &amp; artifact security; HR focus: artifact acceptance/generated-code gate.</w:t>
            </w:r>
          </w:p>
        </w:tc>
        <w:tc>
          <w:tcPr>
            <w:tcW w:type="dxa" w:w="2600"/>
            <w:tcMar>
              <w:top w:type="dxa" w:w="60"/>
              <w:left w:type="dxa" w:w="80"/>
              <w:bottom w:type="dxa" w:w="60"/>
              <w:right w:type="dxa" w:w="80"/>
            </w:tcMar>
          </w:tcPr>
          <w:p>
            <w:r>
              <w:rPr>
                <w:b w:val="false"/>
                <w:bCs w:val="false"/>
                <w:sz w:val="17"/>
                <w:szCs w:val="17"/>
              </w:rPr>
              <w:t xml:space="preserve">§23.1-23.2, Table 31 (RACI), HR9-23-1.</w:t>
            </w:r>
          </w:p>
        </w:tc>
        <w:tc>
          <w:tcPr>
            <w:tcW w:type="dxa" w:w="2400"/>
            <w:tcMar>
              <w:top w:type="dxa" w:w="60"/>
              <w:left w:type="dxa" w:w="80"/>
              <w:bottom w:type="dxa" w:w="60"/>
              <w:right w:type="dxa" w:w="80"/>
            </w:tcMar>
          </w:tcPr>
          <w:p>
            <w:r>
              <w:rPr>
                <w:b w:val="false"/>
                <w:bCs w:val="false"/>
                <w:sz w:val="17"/>
                <w:szCs w:val="17"/>
              </w:rPr>
              <w:t xml:space="preserve">NCIE-004 CI/CD; NCIE-007 Ch.34; NCIE-008 assurance.</w:t>
            </w:r>
          </w:p>
        </w:tc>
        <w:tc>
          <w:tcPr>
            <w:tcW w:type="dxa" w:w="2400"/>
            <w:tcMar>
              <w:top w:type="dxa" w:w="60"/>
              <w:left w:type="dxa" w:w="80"/>
              <w:bottom w:type="dxa" w:w="60"/>
              <w:right w:type="dxa" w:w="80"/>
            </w:tcMar>
          </w:tcPr>
          <w:p>
            <w:r>
              <w:rPr>
                <w:b w:val="false"/>
                <w:bCs w:val="false"/>
                <w:sz w:val="17"/>
                <w:szCs w:val="17"/>
              </w:rPr>
              <w:t xml:space="preserve">HR9-23-1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24</w:t>
            </w:r>
          </w:p>
        </w:tc>
        <w:tc>
          <w:tcPr>
            <w:tcW w:type="dxa" w:w="3200"/>
            <w:tcMar>
              <w:top w:type="dxa" w:w="60"/>
              <w:left w:type="dxa" w:w="80"/>
              <w:bottom w:type="dxa" w:w="60"/>
              <w:right w:type="dxa" w:w="80"/>
            </w:tcMar>
          </w:tcPr>
          <w:p>
            <w:r>
              <w:rPr>
                <w:b w:val="false"/>
                <w:bCs w:val="false"/>
                <w:sz w:val="17"/>
                <w:szCs w:val="17"/>
              </w:rPr>
              <w:t xml:space="preserve">Vulnerability, patch &amp; security exception management; HR focus: remediation/risk-acceptance authority.</w:t>
            </w:r>
          </w:p>
        </w:tc>
        <w:tc>
          <w:tcPr>
            <w:tcW w:type="dxa" w:w="2600"/>
            <w:tcMar>
              <w:top w:type="dxa" w:w="60"/>
              <w:left w:type="dxa" w:w="80"/>
              <w:bottom w:type="dxa" w:w="60"/>
              <w:right w:type="dxa" w:w="80"/>
            </w:tcMar>
          </w:tcPr>
          <w:p>
            <w:r>
              <w:rPr>
                <w:b w:val="false"/>
                <w:bCs w:val="false"/>
                <w:sz w:val="17"/>
                <w:szCs w:val="17"/>
              </w:rPr>
              <w:t xml:space="preserve">§24.1-24.2, Table 32 (RACI), HR9-24-1.</w:t>
            </w:r>
          </w:p>
        </w:tc>
        <w:tc>
          <w:tcPr>
            <w:tcW w:type="dxa" w:w="2400"/>
            <w:tcMar>
              <w:top w:type="dxa" w:w="60"/>
              <w:left w:type="dxa" w:w="80"/>
              <w:bottom w:type="dxa" w:w="60"/>
              <w:right w:type="dxa" w:w="80"/>
            </w:tcMar>
          </w:tcPr>
          <w:p>
            <w:r>
              <w:rPr>
                <w:b w:val="false"/>
                <w:bCs w:val="false"/>
                <w:sz w:val="17"/>
                <w:szCs w:val="17"/>
              </w:rPr>
              <w:t xml:space="preserve">NCIE-004 engineering; NCIE-008 Ch.21.</w:t>
            </w:r>
          </w:p>
        </w:tc>
        <w:tc>
          <w:tcPr>
            <w:tcW w:type="dxa" w:w="2400"/>
            <w:tcMar>
              <w:top w:type="dxa" w:w="60"/>
              <w:left w:type="dxa" w:w="80"/>
              <w:bottom w:type="dxa" w:w="60"/>
              <w:right w:type="dxa" w:w="80"/>
            </w:tcMar>
          </w:tcPr>
          <w:p>
            <w:r>
              <w:rPr>
                <w:b w:val="false"/>
                <w:bCs w:val="false"/>
                <w:sz w:val="17"/>
                <w:szCs w:val="17"/>
              </w:rPr>
              <w:t xml:space="preserve">HR9-24-1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25</w:t>
            </w:r>
          </w:p>
        </w:tc>
        <w:tc>
          <w:tcPr>
            <w:tcW w:type="dxa" w:w="3200"/>
            <w:tcMar>
              <w:top w:type="dxa" w:w="60"/>
              <w:left w:type="dxa" w:w="80"/>
              <w:bottom w:type="dxa" w:w="60"/>
              <w:right w:type="dxa" w:w="80"/>
            </w:tcMar>
          </w:tcPr>
          <w:p>
            <w:r>
              <w:rPr>
                <w:b w:val="false"/>
                <w:bCs w:val="false"/>
                <w:sz w:val="17"/>
                <w:szCs w:val="17"/>
              </w:rPr>
              <w:t xml:space="preserve">Resilience, recovery &amp; security reconciliation; HR focus: security-recovery acceptance.</w:t>
            </w:r>
          </w:p>
        </w:tc>
        <w:tc>
          <w:tcPr>
            <w:tcW w:type="dxa" w:w="2600"/>
            <w:tcMar>
              <w:top w:type="dxa" w:w="60"/>
              <w:left w:type="dxa" w:w="80"/>
              <w:bottom w:type="dxa" w:w="60"/>
              <w:right w:type="dxa" w:w="80"/>
            </w:tcMar>
          </w:tcPr>
          <w:p>
            <w:r>
              <w:rPr>
                <w:b w:val="false"/>
                <w:bCs w:val="false"/>
                <w:sz w:val="17"/>
                <w:szCs w:val="17"/>
              </w:rPr>
              <w:t xml:space="preserve">§25.1-25.2, Table 33 (RACI), HR9-25-1.</w:t>
            </w:r>
          </w:p>
        </w:tc>
        <w:tc>
          <w:tcPr>
            <w:tcW w:type="dxa" w:w="2400"/>
            <w:tcMar>
              <w:top w:type="dxa" w:w="60"/>
              <w:left w:type="dxa" w:w="80"/>
              <w:bottom w:type="dxa" w:w="60"/>
              <w:right w:type="dxa" w:w="80"/>
            </w:tcMar>
          </w:tcPr>
          <w:p>
            <w:r>
              <w:rPr>
                <w:b w:val="false"/>
                <w:bCs w:val="false"/>
                <w:sz w:val="17"/>
                <w:szCs w:val="17"/>
              </w:rPr>
              <w:t xml:space="preserve">NCIE-004 resilience; NCIE-006 recovery; NCIE-007 recovery.</w:t>
            </w:r>
          </w:p>
        </w:tc>
        <w:tc>
          <w:tcPr>
            <w:tcW w:type="dxa" w:w="2400"/>
            <w:tcMar>
              <w:top w:type="dxa" w:w="60"/>
              <w:left w:type="dxa" w:w="80"/>
              <w:bottom w:type="dxa" w:w="60"/>
              <w:right w:type="dxa" w:w="80"/>
            </w:tcMar>
          </w:tcPr>
          <w:p>
            <w:r>
              <w:rPr>
                <w:b w:val="false"/>
                <w:bCs w:val="false"/>
                <w:sz w:val="17"/>
                <w:szCs w:val="17"/>
              </w:rPr>
              <w:t xml:space="preserve">HR9-25-1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26</w:t>
            </w:r>
          </w:p>
        </w:tc>
        <w:tc>
          <w:tcPr>
            <w:tcW w:type="dxa" w:w="3200"/>
            <w:tcMar>
              <w:top w:type="dxa" w:w="60"/>
              <w:left w:type="dxa" w:w="80"/>
              <w:bottom w:type="dxa" w:w="60"/>
              <w:right w:type="dxa" w:w="80"/>
            </w:tcMar>
          </w:tcPr>
          <w:p>
            <w:r>
              <w:rPr>
                <w:b w:val="false"/>
                <w:bCs w:val="false"/>
                <w:sz w:val="17"/>
                <w:szCs w:val="17"/>
              </w:rPr>
              <w:t xml:space="preserve">Security testing, assurance &amp; adversarial validation; HR focus: test acceptance/independence.</w:t>
            </w:r>
          </w:p>
        </w:tc>
        <w:tc>
          <w:tcPr>
            <w:tcW w:type="dxa" w:w="2600"/>
            <w:tcMar>
              <w:top w:type="dxa" w:w="60"/>
              <w:left w:type="dxa" w:w="80"/>
              <w:bottom w:type="dxa" w:w="60"/>
              <w:right w:type="dxa" w:w="80"/>
            </w:tcMar>
          </w:tcPr>
          <w:p>
            <w:r>
              <w:rPr>
                <w:b w:val="false"/>
                <w:bCs w:val="false"/>
                <w:sz w:val="17"/>
                <w:szCs w:val="17"/>
              </w:rPr>
              <w:t xml:space="preserve">§26.1-26.2, Table 34 (9 test classes, directive item 45), Table 35 (RACI), HR9-26-1.</w:t>
            </w:r>
          </w:p>
        </w:tc>
        <w:tc>
          <w:tcPr>
            <w:tcW w:type="dxa" w:w="2400"/>
            <w:tcMar>
              <w:top w:type="dxa" w:w="60"/>
              <w:left w:type="dxa" w:w="80"/>
              <w:bottom w:type="dxa" w:w="60"/>
              <w:right w:type="dxa" w:w="80"/>
            </w:tcMar>
          </w:tcPr>
          <w:p>
            <w:r>
              <w:rPr>
                <w:b w:val="false"/>
                <w:bCs w:val="false"/>
                <w:sz w:val="17"/>
                <w:szCs w:val="17"/>
              </w:rPr>
              <w:t xml:space="preserve">NCIE-004 testing; NCIE-007 adversarial evaluation; NCIE-008 assurance; NCIE-016 downstream.</w:t>
            </w:r>
          </w:p>
        </w:tc>
        <w:tc>
          <w:tcPr>
            <w:tcW w:type="dxa" w:w="2400"/>
            <w:tcMar>
              <w:top w:type="dxa" w:w="60"/>
              <w:left w:type="dxa" w:w="80"/>
              <w:bottom w:type="dxa" w:w="60"/>
              <w:right w:type="dxa" w:w="80"/>
            </w:tcMar>
          </w:tcPr>
          <w:p>
            <w:r>
              <w:rPr>
                <w:b w:val="false"/>
                <w:bCs w:val="false"/>
                <w:sz w:val="17"/>
                <w:szCs w:val="17"/>
              </w:rPr>
              <w:t xml:space="preserve">HR9-26-1 preserved verbatim, Blocking.</w:t>
            </w:r>
          </w:p>
        </w:tc>
        <w:tc>
          <w:tcPr>
            <w:tcW w:type="dxa" w:w="1300"/>
            <w:tcMar>
              <w:top w:type="dxa" w:w="60"/>
              <w:left w:type="dxa" w:w="80"/>
              <w:bottom w:type="dxa" w:w="60"/>
              <w:right w:type="dxa" w:w="80"/>
            </w:tcMar>
          </w:tcPr>
          <w:p>
            <w:r>
              <w:rPr>
                <w:b w:val="false"/>
                <w:bCs w:val="false"/>
                <w:sz w:val="17"/>
                <w:szCs w:val="17"/>
              </w:rPr>
              <w:t xml:space="preserve">EXPANDED</w:t>
            </w:r>
          </w:p>
        </w:tc>
      </w:tr>
      <w:tr>
        <w:tc>
          <w:tcPr>
            <w:tcW w:type="dxa" w:w="700"/>
            <w:tcMar>
              <w:top w:type="dxa" w:w="60"/>
              <w:left w:type="dxa" w:w="80"/>
              <w:bottom w:type="dxa" w:w="60"/>
              <w:right w:type="dxa" w:w="80"/>
            </w:tcMar>
          </w:tcPr>
          <w:p>
            <w:r>
              <w:rPr>
                <w:b/>
                <w:bCs/>
                <w:sz w:val="17"/>
                <w:szCs w:val="17"/>
              </w:rPr>
              <w:t xml:space="preserve">27</w:t>
            </w:r>
          </w:p>
        </w:tc>
        <w:tc>
          <w:tcPr>
            <w:tcW w:type="dxa" w:w="3200"/>
            <w:tcMar>
              <w:top w:type="dxa" w:w="60"/>
              <w:left w:type="dxa" w:w="80"/>
              <w:bottom w:type="dxa" w:w="60"/>
              <w:right w:type="dxa" w:w="80"/>
            </w:tcMar>
          </w:tcPr>
          <w:p>
            <w:r>
              <w:rPr>
                <w:b w:val="false"/>
                <w:bCs w:val="false"/>
                <w:sz w:val="17"/>
                <w:szCs w:val="17"/>
              </w:rPr>
              <w:t xml:space="preserve">Human Review Register &amp; open security decisions; HR focus: review/decide register items.</w:t>
            </w:r>
          </w:p>
        </w:tc>
        <w:tc>
          <w:tcPr>
            <w:tcW w:type="dxa" w:w="2600"/>
            <w:tcMar>
              <w:top w:type="dxa" w:w="60"/>
              <w:left w:type="dxa" w:w="80"/>
              <w:bottom w:type="dxa" w:w="60"/>
              <w:right w:type="dxa" w:w="80"/>
            </w:tcMar>
          </w:tcPr>
          <w:p>
            <w:r>
              <w:rPr>
                <w:b w:val="false"/>
                <w:bCs w:val="false"/>
                <w:sz w:val="17"/>
                <w:szCs w:val="17"/>
              </w:rPr>
              <w:t xml:space="preserve">§27.0 (CORRECTED — Salient Things to Note, inserted), §27.1-27.6, Table 36 (summary), Table 37 (complete register, 28 items), HR9-27-1.</w:t>
            </w:r>
          </w:p>
        </w:tc>
        <w:tc>
          <w:tcPr>
            <w:tcW w:type="dxa" w:w="2400"/>
            <w:tcMar>
              <w:top w:type="dxa" w:w="60"/>
              <w:left w:type="dxa" w:w="80"/>
              <w:bottom w:type="dxa" w:w="60"/>
              <w:right w:type="dxa" w:w="80"/>
            </w:tcMar>
          </w:tcPr>
          <w:p>
            <w:r>
              <w:rPr>
                <w:b w:val="false"/>
                <w:bCs w:val="false"/>
                <w:sz w:val="17"/>
                <w:szCs w:val="17"/>
              </w:rPr>
              <w:t xml:space="preserve">All chapters above (mechanically reconciled — directive item 46/50); approved Skeletal v0.1 Chapter 27 Salient Things to Note.</w:t>
            </w:r>
          </w:p>
        </w:tc>
        <w:tc>
          <w:tcPr>
            <w:tcW w:type="dxa" w:w="2400"/>
            <w:tcMar>
              <w:top w:type="dxa" w:w="60"/>
              <w:left w:type="dxa" w:w="80"/>
              <w:bottom w:type="dxa" w:w="60"/>
              <w:right w:type="dxa" w:w="80"/>
            </w:tcMar>
          </w:tcPr>
          <w:p>
            <w:r>
              <w:rPr>
                <w:b w:val="false"/>
                <w:bCs w:val="false"/>
                <w:sz w:val="17"/>
                <w:szCs w:val="17"/>
              </w:rPr>
              <w:t xml:space="preserve">HR9-27-1 (this chapter's own item) included in Table 37 and totals from the start — the NCIE-008 reconciliation defect was designed around, not repeated. All 28 items consolidated, unchanged by this correction.</w:t>
            </w:r>
          </w:p>
        </w:tc>
        <w:tc>
          <w:tcPr>
            <w:tcW w:type="dxa" w:w="1300"/>
            <w:tcMar>
              <w:top w:type="dxa" w:w="60"/>
              <w:left w:type="dxa" w:w="80"/>
              <w:bottom w:type="dxa" w:w="60"/>
              <w:right w:type="dxa" w:w="80"/>
            </w:tcMar>
          </w:tcPr>
          <w:p>
            <w:r>
              <w:rPr>
                <w:b w:val="false"/>
                <w:bCs w:val="false"/>
                <w:sz w:val="17"/>
                <w:szCs w:val="17"/>
              </w:rPr>
              <w:t xml:space="preserve">CORRECTED</w:t>
            </w:r>
          </w:p>
        </w:tc>
      </w:tr>
      <w:tr>
        <w:tc>
          <w:tcPr>
            <w:tcW w:type="dxa" w:w="700"/>
            <w:tcMar>
              <w:top w:type="dxa" w:w="60"/>
              <w:left w:type="dxa" w:w="80"/>
              <w:bottom w:type="dxa" w:w="60"/>
              <w:right w:type="dxa" w:w="80"/>
            </w:tcMar>
          </w:tcPr>
          <w:p>
            <w:r>
              <w:rPr>
                <w:b/>
                <w:bCs/>
                <w:sz w:val="17"/>
                <w:szCs w:val="17"/>
              </w:rPr>
              <w:t xml:space="preserve">28</w:t>
            </w:r>
          </w:p>
        </w:tc>
        <w:tc>
          <w:tcPr>
            <w:tcW w:type="dxa" w:w="3200"/>
            <w:tcMar>
              <w:top w:type="dxa" w:w="60"/>
              <w:left w:type="dxa" w:w="80"/>
              <w:bottom w:type="dxa" w:w="60"/>
              <w:right w:type="dxa" w:w="80"/>
            </w:tcMar>
          </w:tcPr>
          <w:p>
            <w:r>
              <w:rPr>
                <w:b w:val="false"/>
                <w:bCs w:val="false"/>
                <w:sz w:val="17"/>
                <w:szCs w:val="17"/>
              </w:rPr>
              <w:t xml:space="preserve">Traceability, acceptance &amp; downstream handover; HR focus: skeleton approval/expansion authorization.</w:t>
            </w:r>
          </w:p>
        </w:tc>
        <w:tc>
          <w:tcPr>
            <w:tcW w:type="dxa" w:w="2600"/>
            <w:tcMar>
              <w:top w:type="dxa" w:w="60"/>
              <w:left w:type="dxa" w:w="80"/>
              <w:bottom w:type="dxa" w:w="60"/>
              <w:right w:type="dxa" w:w="80"/>
            </w:tcMar>
          </w:tcPr>
          <w:p>
            <w:r>
              <w:rPr>
                <w:b w:val="false"/>
                <w:bCs w:val="false"/>
                <w:sz w:val="17"/>
                <w:szCs w:val="17"/>
              </w:rPr>
              <w:t xml:space="preserve">§28.1-28.7, Table 38 (traceability, 28 rows), Table 39 Security-Control-Ownership Matrix (directive item 48), Table 40 (downstream handover, 5 rows), HR9-28-1.</w:t>
            </w:r>
          </w:p>
        </w:tc>
        <w:tc>
          <w:tcPr>
            <w:tcW w:type="dxa" w:w="2400"/>
            <w:tcMar>
              <w:top w:type="dxa" w:w="60"/>
              <w:left w:type="dxa" w:w="80"/>
              <w:bottom w:type="dxa" w:w="60"/>
              <w:right w:type="dxa" w:w="80"/>
            </w:tcMar>
          </w:tcPr>
          <w:p>
            <w:r>
              <w:rPr>
                <w:b w:val="false"/>
                <w:bCs w:val="false"/>
                <w:sz w:val="17"/>
                <w:szCs w:val="17"/>
              </w:rPr>
              <w:t xml:space="preserve">Approved NCIE-001-008; approved NCIE-009 Skeletal v0.1.</w:t>
            </w:r>
          </w:p>
        </w:tc>
        <w:tc>
          <w:tcPr>
            <w:tcW w:type="dxa" w:w="2400"/>
            <w:tcMar>
              <w:top w:type="dxa" w:w="60"/>
              <w:left w:type="dxa" w:w="80"/>
              <w:bottom w:type="dxa" w:w="60"/>
              <w:right w:type="dxa" w:w="80"/>
            </w:tcMar>
          </w:tcPr>
          <w:p>
            <w:r>
              <w:rPr>
                <w:b w:val="false"/>
                <w:bCs w:val="false"/>
                <w:sz w:val="17"/>
                <w:szCs w:val="17"/>
              </w:rPr>
              <w:t xml:space="preserve">HR9-28-1 unchanged, RESOLVED BY UPSTREAM BASELINE (skeleton approval already satisfies it).</w:t>
            </w:r>
          </w:p>
        </w:tc>
        <w:tc>
          <w:tcPr>
            <w:tcW w:type="dxa" w:w="1300"/>
            <w:tcMar>
              <w:top w:type="dxa" w:w="60"/>
              <w:left w:type="dxa" w:w="80"/>
              <w:bottom w:type="dxa" w:w="60"/>
              <w:right w:type="dxa" w:w="80"/>
            </w:tcMar>
          </w:tcPr>
          <w:p>
            <w:r>
              <w:rPr>
                <w:b w:val="false"/>
                <w:bCs w:val="false"/>
                <w:sz w:val="17"/>
                <w:szCs w:val="17"/>
              </w:rPr>
              <w:t xml:space="preserve">EXPANDED</w:t>
            </w:r>
          </w:p>
        </w:tc>
      </w:tr>
    </w:tbl>
    <w:p>
      <w:pPr>
        <w:spacing w:before="200"/>
      </w:pPr>
    </w:p>
    <w:p>
      <w:pPr>
        <w:spacing w:after="80" w:before="200"/>
      </w:pPr>
      <w:r>
        <w:rPr>
          <w:b/>
          <w:bCs/>
          <w:sz w:val="20"/>
          <w:szCs w:val="20"/>
        </w:rPr>
        <w:t xml:space="preserve">Consolidated Security Matrices Added (Directive Item 48)</w:t>
      </w:r>
    </w:p>
    <w:p>
      <w:pPr>
        <w:spacing w:after="200"/>
      </w:pPr>
      <w:r>
        <w:rPr>
          <w:sz w:val="19"/>
          <w:szCs w:val="19"/>
        </w:rPr>
        <w:t xml:space="preserve">Table 7 (Chapter 5) — Identity-Assurance Matrix. Table 9 (Chapter 6) — Authorization-Decision Matrix. Table 11 (Chapter 7) — Delegation Matrix. Tables 13 and 15 (Chapters 8-9) — Privileged/Break-Glass Matrix, Parts 1-2. Table 25 (Chapter 18) — Data-Flow Security Matrix. Table 39 (Chapter 28) — Security-Control-Ownership Matrix, consolidating every control domain's owning chapter and NCIE-008 decision-right class. Table 3 (Chapter 2) additionally provides the Threat-Control Traceability Matrix required by directive item 49. Every other chapter carries its own chapter-appropriate RACI/control-ownership table.</w:t>
      </w:r>
    </w:p>
    <w:p>
      <w:pPr>
        <w:spacing w:after="80" w:before="200"/>
      </w:pPr>
      <w:r>
        <w:rPr>
          <w:b/>
          <w:bCs/>
          <w:sz w:val="20"/>
          <w:szCs w:val="20"/>
        </w:rPr>
        <w:t xml:space="preserve">Human Review Register Reconciliation</w:t>
      </w:r>
    </w:p>
    <w:p>
      <w:pPr>
        <w:spacing w:after="200"/>
      </w:pPr>
      <w:r>
        <w:rPr>
          <w:sz w:val="19"/>
          <w:szCs w:val="19"/>
        </w:rPr>
        <w:t xml:space="preserve">28 Human Review items total: 26 items from Chapters 1-26 (one per chapter, mechanically extracted from each chapter's own Human Review Focus bullet text), plus HR9-27-1 (Chapter 27's own item) and HR9-28-1 (Chapter 28's own item) — both defined once and included in the register from the start, per the lesson learned from the NCIE-008 v1.0 correction, rather than appended afterward. Classification breakdown: 24 Institutional Confirmation Required, 3 Security/Sovereignty Confirmation Required, 1 Resolved by Upstream Baseline. 24 Blocking / 4 Non-Blocking. One item, HR9-1-1, is cross-referenced (not duplicated) against the identical institutional question already open as NCIE-008 HR8-10-1, per directive item 51's upstream-deduplication rule. No item manufactures closure of a decision the approved skeleton, the approved NCIE-008 governance layer, or the approved upstream chain does not itself settle.</w:t>
      </w:r>
    </w:p>
    <w:p>
      <w:pPr>
        <w:spacing w:after="80" w:before="200"/>
      </w:pPr>
      <w:r>
        <w:rPr>
          <w:b/>
          <w:bCs/>
          <w:sz w:val="20"/>
          <w:szCs w:val="20"/>
        </w:rPr>
        <w:t xml:space="preserve">Skeleton Fidelity Statement (Corrected)</w:t>
      </w:r>
    </w:p>
    <w:p>
      <w:r>
        <w:rPr>
          <w:sz w:val="19"/>
          <w:szCs w:val="19"/>
        </w:rPr>
        <w:t xml:space="preserve">Every approved Chapter Purpose, Salient Things to Note, Principal Security Component, Upstream Dependency/Authority and Human Review Focus from the approved NCIE-009 Skeletal v0.1 is substantively represented in the corresponding v1.0 chapter above, including an explicit Salient Things to Note subsection in every chapter operationalized into controls, limitations or acceptance criteria (directive item 5 hard gate). This statement was rerun against the corrected final document — not restated from the prior (false) claim — and now confirms all 28 chapters, including the corrected Chapter 27; none is omitted and none is conceptually inverted (Chapter 28 §28.3).</w:t>
      </w:r>
    </w:p>
    <w:sectPr>
      <w:pgSz w:w="16838" w:h="11906" w:orient="landscape"/>
      <w:pgMar w:top="700" w:right="600" w:bottom="7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2026-09-13T02:27:25.023Z</dcterms:created>
  <dcterms:modified xsi:type="dcterms:W3CDTF">2026-09-13T02:27:25.023Z</dcterms:modified>
</cp:coreProperties>
</file>

<file path=docProps/custom.xml><?xml version="1.0" encoding="utf-8"?>
<Properties xmlns="http://schemas.openxmlformats.org/officeDocument/2006/custom-properties" xmlns:vt="http://schemas.openxmlformats.org/officeDocument/2006/docPropsVTypes"/>
</file>