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NCIE-010</w:t>
        <w:br/>
        <w:t>Evidence, Provenance &amp; Audit Architecture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Source-confirmed title</w:t>
            </w:r>
          </w:p>
        </w:tc>
        <w:tc>
          <w:tcPr>
            <w:tcW w:type="dxa" w:w="5040"/>
          </w:tcPr>
          <w:p>
            <w:r>
              <w:t>NCIE-010 — Evidence, Provenance &amp; Audit Architecture</w:t>
            </w:r>
          </w:p>
        </w:tc>
      </w:tr>
      <w:tr>
        <w:tc>
          <w:tcPr>
            <w:tcW w:type="dxa" w:w="5040"/>
          </w:tcPr>
          <w:p>
            <w:r>
              <w:t>Source-confirmed suite scope</w:t>
            </w:r>
          </w:p>
        </w:tc>
        <w:tc>
          <w:tcPr>
            <w:tcW w:type="dxa" w:w="5040"/>
          </w:tcPr>
          <w:p>
            <w:r>
              <w:t>Evidence integrity, lineage, provenance, accountability, audit and defensibility.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v1.3; NCIE-002 v0.5; NCIE-003 v0.4; NCIE-004 v1.2; NCIE-005 v1.3; NCIE-006 v1.2; NCIE-007 v1.2; NCIE-008 v1.0; NCIE-009 v1.0</w:t>
            </w:r>
          </w:p>
        </w:tc>
      </w:tr>
      <w:tr>
        <w:tc>
          <w:tcPr>
            <w:tcW w:type="dxa" w:w="5040"/>
          </w:tcPr>
          <w:p>
            <w:r>
              <w:t>Primary boundary</w:t>
            </w:r>
          </w:p>
        </w:tc>
        <w:tc>
          <w:tcPr>
            <w:tcW w:type="dxa" w:w="5040"/>
          </w:tcPr>
          <w:p>
            <w:r>
              <w:t>NCIE-010 owns Evidence lifecycle/chain-of-custody engineering plus enterprise provenance/audit architecture. It must not redefine canonical entities, governance authority, IAM/security controls, Memory semantics, or physical storage.</w:t>
            </w:r>
          </w:p>
        </w:tc>
      </w:tr>
      <w:tr>
        <w:tc>
          <w:tcPr>
            <w:tcW w:type="dxa" w:w="5040"/>
          </w:tcPr>
          <w:p>
            <w:r>
              <w:t>Framework authority</w:t>
            </w:r>
          </w:p>
        </w:tc>
        <w:tc>
          <w:tcPr>
            <w:tcW w:type="dxa" w:w="5040"/>
          </w:tcPr>
          <w:p>
            <w:r>
              <w:t>NCIE Documentation Suite Master Controlled Register v2.0 confirms NCIE-010 title and mandate.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 of this skeletal architecture.</w:t>
            </w:r>
          </w:p>
        </w:tc>
      </w:tr>
    </w:tbl>
    <w:p>
      <w:pPr>
        <w:pStyle w:val="Heading1"/>
      </w:pPr>
      <w:r>
        <w:t>Proposed Governing Invariants</w:t>
      </w:r>
    </w:p>
    <w:p>
      <w:pPr>
        <w:pStyle w:val="ListBullet"/>
      </w:pPr>
      <w:r>
        <w:t>SOURCE DATA ≠ EVIDENCE.</w:t>
      </w:r>
    </w:p>
    <w:p>
      <w:pPr>
        <w:pStyle w:val="ListBullet"/>
      </w:pPr>
      <w:r>
        <w:t>MEMORY ≠ EVIDENCE.</w:t>
      </w:r>
    </w:p>
    <w:p>
      <w:pPr>
        <w:pStyle w:val="ListBullet"/>
      </w:pPr>
      <w:r>
        <w:t>AI / AGENT OUTPUT ≠ EVIDENCE.</w:t>
      </w:r>
    </w:p>
    <w:p>
      <w:pPr>
        <w:pStyle w:val="ListBullet"/>
      </w:pPr>
      <w:r>
        <w:t>EVIDENCE REFERENCE ≠ EVIDENCE CONTENT.</w:t>
      </w:r>
    </w:p>
    <w:p>
      <w:pPr>
        <w:pStyle w:val="ListBullet"/>
      </w:pPr>
      <w:r>
        <w:t>EVIDENCE REGISTRATION ≠ FINDING.</w:t>
      </w:r>
    </w:p>
    <w:p>
      <w:pPr>
        <w:pStyle w:val="ListBullet"/>
      </w:pPr>
      <w:r>
        <w:t>EVIDENCE SUPPORT ≠ INSTITUTIONAL DECISION.</w:t>
      </w:r>
    </w:p>
    <w:p>
      <w:pPr>
        <w:pStyle w:val="ListBullet"/>
      </w:pPr>
      <w:r>
        <w:t>PROVENANCE ≠ AUTHORITY TO DISCLOSE.</w:t>
      </w:r>
    </w:p>
    <w:p>
      <w:pPr>
        <w:pStyle w:val="ListBullet"/>
      </w:pPr>
      <w:r>
        <w:t>LINEAGE ≠ CAUSALITY.</w:t>
      </w:r>
    </w:p>
    <w:p>
      <w:pPr>
        <w:pStyle w:val="ListBullet"/>
      </w:pPr>
      <w:r>
        <w:t>AUDIT EVENT ≠ PROVENANCE RECORD.</w:t>
      </w:r>
    </w:p>
    <w:p>
      <w:pPr>
        <w:pStyle w:val="ListBullet"/>
      </w:pPr>
      <w:r>
        <w:t>TELEMETRY ≠ AUDIT ≠ PROVENANCE.</w:t>
      </w:r>
    </w:p>
    <w:p>
      <w:pPr>
        <w:pStyle w:val="ListBullet"/>
      </w:pPr>
      <w:r>
        <w:t>ANNOTATION ≠ ALTERATION OF SOURCE EVIDENCE.</w:t>
      </w:r>
    </w:p>
    <w:p>
      <w:pPr>
        <w:pStyle w:val="ListBullet"/>
      </w:pPr>
      <w:r>
        <w:t>CORRECTION ≠ HISTORICAL ERASURE.</w:t>
      </w:r>
    </w:p>
    <w:p>
      <w:pPr>
        <w:pStyle w:val="ListBullet"/>
      </w:pPr>
      <w:r>
        <w:t>INVALIDATION ≠ DELETION OF HISTORICAL RECORD.</w:t>
      </w:r>
    </w:p>
    <w:p>
      <w:pPr>
        <w:pStyle w:val="ListBullet"/>
      </w:pPr>
      <w:r>
        <w:t>CONTRADICTION ≠ ERROR TO BE SILENTLY REMOVED.</w:t>
      </w:r>
    </w:p>
    <w:p>
      <w:pPr>
        <w:pStyle w:val="ListBullet"/>
      </w:pPr>
      <w:r>
        <w:t>CHAIN OF CUSTODY ≠ CONTENT OWNERSHIP.</w:t>
      </w:r>
    </w:p>
    <w:p>
      <w:pPr>
        <w:pStyle w:val="ListBullet"/>
      </w:pPr>
      <w:r>
        <w:t>HASH / INTEGRITY METADATA ≠ TRUTH OF CONTENT.</w:t>
      </w:r>
    </w:p>
    <w:p>
      <w:pPr>
        <w:pStyle w:val="ListBullet"/>
      </w:pPr>
      <w:r>
        <w:t>VPF PASS ≠ EVIDENCE.</w:t>
      </w:r>
    </w:p>
    <w:p>
      <w:pPr>
        <w:pStyle w:val="ListBullet"/>
      </w:pPr>
      <w:r>
        <w:t>FINDING ≠ DECISION.</w:t>
      </w:r>
    </w:p>
    <w:p>
      <w:pPr>
        <w:pStyle w:val="ListBullet"/>
      </w:pPr>
      <w:r>
        <w:t>DECISION-TIME RECONSTRUCTION ≠ CURRENT-STATE REWRITE.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Architecture Boundary</w:t>
      </w:r>
    </w:p>
    <w:p>
      <w:r>
        <w:t>Chapter Purpose. Establish NCIE-010 as the Evidence, Provenance &amp; Audit architecture owner within the approved NCIE suite.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NCIE-010 owns Evidence integrity, lineage, provenance, accountability, audit and defensibility, but does not redefine NCIE-003 canonical entities, NCIE-008 governance authority, NCIE-009 security enforcement or NCIE-014 physical storage.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ownership boundaries</w:t>
      </w:r>
    </w:p>
    <w:p>
      <w:pPr>
        <w:pStyle w:val="ListBullet"/>
      </w:pPr>
      <w:r>
        <w:t>authority chain</w:t>
      </w:r>
    </w:p>
    <w:p>
      <w:pPr>
        <w:pStyle w:val="ListBullet"/>
      </w:pPr>
      <w:r>
        <w:t>exclusions</w:t>
      </w:r>
    </w:p>
    <w:p>
      <w:pPr>
        <w:pStyle w:val="ListBullet"/>
      </w:pPr>
      <w:r>
        <w:t>upstream/downstream interfaces.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Master Controlled Register v2.0; NCIE-002 evidence/provenance-first doctrine; NCIE-003 Ch.17/25; NCIE-006/007 handover to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NCIE-010 acceptance authority and any unresolved overlap with audit/assurance responsibilities in NCIE-008/009.</w:t>
      </w:r>
    </w:p>
    <w:p>
      <w:pPr>
        <w:pStyle w:val="Heading2"/>
      </w:pPr>
      <w:r>
        <w:t>Chapter 2 — Evidence &amp; Provenance Doctrine</w:t>
      </w:r>
    </w:p>
    <w:p>
      <w:r>
        <w:t>Chapter Purpose. Lock the epistemic and architectural separations governing Evidence, provenance, audit and institutional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SOURCE DATA ≠ EVIDENCE; AI OUTPUT ≠ EVIDENCE; Finding ≠ Decision; provenance supports defensibility but does not itself create truth or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doctrine</w:t>
      </w:r>
    </w:p>
    <w:p>
      <w:pPr>
        <w:pStyle w:val="ListBullet"/>
      </w:pPr>
      <w:r>
        <w:t>provenance doctrine</w:t>
      </w:r>
    </w:p>
    <w:p>
      <w:pPr>
        <w:pStyle w:val="ListBullet"/>
      </w:pPr>
      <w:r>
        <w:t>audit doctrine</w:t>
      </w:r>
    </w:p>
    <w:p>
      <w:pPr>
        <w:pStyle w:val="ListBullet"/>
      </w:pPr>
      <w:r>
        <w:t>defensibility principles</w:t>
      </w:r>
    </w:p>
    <w:p>
      <w:pPr>
        <w:pStyle w:val="ListBullet"/>
      </w:pPr>
      <w:r>
        <w:t>anti-fabrication boundary.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evidence/provenance-first requirements; NCIE-003 semantic separations; NCIE-005/007 Human-Primary invariants.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any institution-specific evidence admissibility principles not fixed upstream.</w:t>
      </w:r>
    </w:p>
    <w:p>
      <w:pPr>
        <w:pStyle w:val="Heading2"/>
      </w:pPr>
      <w:r>
        <w:t>Chapter 3 — Evidence Object Model &amp; Canonical Interfaces</w:t>
      </w:r>
    </w:p>
    <w:p>
      <w:r>
        <w:t>Chapter Purpose. Define how NCIE-010 operationalizes the canonical Evidence Object without redefining NCIE-003.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NCIE-003 owns canonical entity meaning; NCIE-010 owns lifecycle, integrity and chain-of-custody engineering around those entities.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Object reference</w:t>
      </w:r>
    </w:p>
    <w:p>
      <w:pPr>
        <w:pStyle w:val="ListBullet"/>
      </w:pPr>
      <w:r>
        <w:t>Source Object reference</w:t>
      </w:r>
    </w:p>
    <w:p>
      <w:pPr>
        <w:pStyle w:val="ListBullet"/>
      </w:pPr>
      <w:r>
        <w:t>integrity metadata</w:t>
      </w:r>
    </w:p>
    <w:p>
      <w:pPr>
        <w:pStyle w:val="ListBullet"/>
      </w:pPr>
      <w:r>
        <w:t>version/status references</w:t>
      </w:r>
    </w:p>
    <w:p>
      <w:pPr>
        <w:pStyle w:val="ListBullet"/>
      </w:pPr>
      <w:r>
        <w:t>relationship interfaces.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Ch.17 Evidence &amp; Provenance and Ch.25 provenance model.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any evidence-class extensions requiring canonical-data amendment rather than NCIE-010-only treatment.</w:t>
      </w:r>
    </w:p>
    <w:p>
      <w:pPr>
        <w:pStyle w:val="Heading2"/>
      </w:pPr>
      <w:r>
        <w:t>Chapter 4 — Source Registration &amp; Evidence Qualification</w:t>
      </w:r>
    </w:p>
    <w:p>
      <w:r>
        <w:t>Chapter Purpose. Define the controlled transition from source material/reference to a registered Evidence Object.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Registration is deliberate and governed; merely ingesting, caching or retrieving source material does not make it Evidence.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Source registration</w:t>
      </w:r>
    </w:p>
    <w:p>
      <w:pPr>
        <w:pStyle w:val="ListBullet"/>
      </w:pPr>
      <w:r>
        <w:t>qualification criteria</w:t>
      </w:r>
    </w:p>
    <w:p>
      <w:pPr>
        <w:pStyle w:val="ListBullet"/>
      </w:pPr>
      <w:r>
        <w:t>source identity</w:t>
      </w:r>
    </w:p>
    <w:p>
      <w:pPr>
        <w:pStyle w:val="ListBullet"/>
      </w:pPr>
      <w:r>
        <w:t>acquisition context</w:t>
      </w:r>
    </w:p>
    <w:p>
      <w:pPr>
        <w:pStyle w:val="ListBullet"/>
      </w:pPr>
      <w:r>
        <w:t>registration actor/process</w:t>
      </w:r>
    </w:p>
    <w:p>
      <w:pPr>
        <w:pStyle w:val="ListBullet"/>
      </w:pPr>
      <w:r>
        <w:t>rejection/quarantine.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Evidence lifecycle step 01; NCIE-001 source-to-decision boundaries.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evidence qualification authorities/criteria not already established upstream.</w:t>
      </w:r>
    </w:p>
    <w:p>
      <w:pPr>
        <w:pStyle w:val="Heading2"/>
      </w:pPr>
      <w:r>
        <w:t>Chapter 5 — Evidence Acquisition &amp; Capture Provenance</w:t>
      </w:r>
    </w:p>
    <w:p>
      <w:r>
        <w:t>Chapter Purpose. Define provenance required when Evidence is acquired from systems, humans, documents, tools, sensors or external sources.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Acquisition provenance must distinguish source, acquisition path, time, actor/process and transformation; later use must not obscure origin.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Acquisition event</w:t>
      </w:r>
    </w:p>
    <w:p>
      <w:pPr>
        <w:pStyle w:val="ListBullet"/>
      </w:pPr>
      <w:r>
        <w:t>source channel</w:t>
      </w:r>
    </w:p>
    <w:p>
      <w:pPr>
        <w:pStyle w:val="ListBullet"/>
      </w:pPr>
      <w:r>
        <w:t>timestamps</w:t>
      </w:r>
    </w:p>
    <w:p>
      <w:pPr>
        <w:pStyle w:val="ListBullet"/>
      </w:pPr>
      <w:r>
        <w:t>actor/service identity</w:t>
      </w:r>
    </w:p>
    <w:p>
      <w:pPr>
        <w:pStyle w:val="ListBullet"/>
      </w:pPr>
      <w:r>
        <w:t>capture method</w:t>
      </w:r>
    </w:p>
    <w:p>
      <w:pPr>
        <w:pStyle w:val="ListBullet"/>
      </w:pPr>
      <w:r>
        <w:t>environment/context</w:t>
      </w:r>
    </w:p>
    <w:p>
      <w:pPr>
        <w:pStyle w:val="ListBullet"/>
      </w:pPr>
      <w:r>
        <w:t>acquisition result.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evidence acquisition workflows; NCIE-003 provenance requirements; NCIE-004/011 acquisition interfaces.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acquisition classes require heightened human attestation or independent corroboration.</w:t>
      </w:r>
    </w:p>
    <w:p>
      <w:pPr>
        <w:pStyle w:val="Heading2"/>
      </w:pPr>
      <w:r>
        <w:t>Chapter 6 — Integrity Metadata, Hashing &amp; Tamper Evidence</w:t>
      </w:r>
    </w:p>
    <w:p>
      <w:r>
        <w:t>Chapter Purpose. Define integrity metadata needed to detect alteration and support defensibility.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Hash/integrity metadata can show sameness/change, not truthfulness or substantive reliability of the content.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Content digest reference</w:t>
      </w:r>
    </w:p>
    <w:p>
      <w:pPr>
        <w:pStyle w:val="ListBullet"/>
      </w:pPr>
      <w:r>
        <w:t>integrity event</w:t>
      </w:r>
    </w:p>
    <w:p>
      <w:pPr>
        <w:pStyle w:val="ListBullet"/>
      </w:pPr>
      <w:r>
        <w:t>integrity verification</w:t>
      </w:r>
    </w:p>
    <w:p>
      <w:pPr>
        <w:pStyle w:val="ListBullet"/>
      </w:pPr>
      <w:r>
        <w:t>tamper indication</w:t>
      </w:r>
    </w:p>
    <w:p>
      <w:pPr>
        <w:pStyle w:val="ListBullet"/>
      </w:pPr>
      <w:r>
        <w:t>mismatch handling</w:t>
      </w:r>
    </w:p>
    <w:p>
      <w:pPr>
        <w:pStyle w:val="ListBullet"/>
      </w:pPr>
      <w:r>
        <w:t>re-verification.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Ch.17 lifecycle/integrity metadata; NCIE-009 artifact/integrity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integrity assurance requirements by Evidence class without inventing algorithms prematurely.</w:t>
      </w:r>
    </w:p>
    <w:p>
      <w:pPr>
        <w:pStyle w:val="Heading2"/>
      </w:pPr>
      <w:r>
        <w:t>Chapter 7 — Chain of Custody Architecture</w:t>
      </w:r>
    </w:p>
    <w:p>
      <w:r>
        <w:t>Chapter Purpose. Define custody/handling provenance from registration through access, transfer, transformation, correction, invalidation and disposition.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Chain of custody records who/what handled Evidence and how; it does not establish content ownership or substantive truth.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Custody event</w:t>
      </w:r>
    </w:p>
    <w:p>
      <w:pPr>
        <w:pStyle w:val="ListBullet"/>
      </w:pPr>
      <w:r>
        <w:t>transfer</w:t>
      </w:r>
    </w:p>
    <w:p>
      <w:pPr>
        <w:pStyle w:val="ListBullet"/>
      </w:pPr>
      <w:r>
        <w:t>access/handling</w:t>
      </w:r>
    </w:p>
    <w:p>
      <w:pPr>
        <w:pStyle w:val="ListBullet"/>
      </w:pPr>
      <w:r>
        <w:t>custody state</w:t>
      </w:r>
    </w:p>
    <w:p>
      <w:pPr>
        <w:pStyle w:val="ListBullet"/>
      </w:pPr>
      <w:r>
        <w:t>handler identity</w:t>
      </w:r>
    </w:p>
    <w:p>
      <w:pPr>
        <w:pStyle w:val="ListBullet"/>
      </w:pPr>
      <w:r>
        <w:t>reason/purpose</w:t>
      </w:r>
    </w:p>
    <w:p>
      <w:pPr>
        <w:pStyle w:val="ListBullet"/>
      </w:pPr>
      <w:r>
        <w:t>timestamps</w:t>
      </w:r>
    </w:p>
    <w:p>
      <w:pPr>
        <w:pStyle w:val="ListBullet"/>
      </w:pPr>
      <w:r>
        <w:t>integrity checks.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Ch.17 §17.6; NCIE-006/007 explicitly hand chain-of-custody engineering to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Evidence classes require formal custody attestation or dual-control.</w:t>
      </w:r>
    </w:p>
    <w:p>
      <w:pPr>
        <w:pStyle w:val="Heading2"/>
      </w:pPr>
      <w:r>
        <w:t>Chapter 8 — Evidence Versioning, Correction &amp; Supersession</w:t>
      </w:r>
    </w:p>
    <w:p>
      <w:r>
        <w:t>Chapter Purpose. Define controlled handling of corrected or superseded Evidence without rewriting history.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Correction creates a new governed version/state; original Evidence history remains reconstructable. CORRECTION ≠ HISTORICAL ERASURE.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Version lineage</w:t>
      </w:r>
    </w:p>
    <w:p>
      <w:pPr>
        <w:pStyle w:val="ListBullet"/>
      </w:pPr>
      <w:r>
        <w:t>correction reason</w:t>
      </w:r>
    </w:p>
    <w:p>
      <w:pPr>
        <w:pStyle w:val="ListBullet"/>
      </w:pPr>
      <w:r>
        <w:t>supersession</w:t>
      </w:r>
    </w:p>
    <w:p>
      <w:pPr>
        <w:pStyle w:val="ListBullet"/>
      </w:pPr>
      <w:r>
        <w:t>effective time</w:t>
      </w:r>
    </w:p>
    <w:p>
      <w:pPr>
        <w:pStyle w:val="ListBullet"/>
      </w:pPr>
      <w:r>
        <w:t>previous/current relationship</w:t>
      </w:r>
    </w:p>
    <w:p>
      <w:pPr>
        <w:pStyle w:val="ListBullet"/>
      </w:pPr>
      <w:r>
        <w:t>notification/impact interface.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Evidence lifecycle; NCIE-006 dependency/revalidation semantics.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correction authority and whether any Evidence classes require human validation before corrected versions become current.</w:t>
      </w:r>
    </w:p>
    <w:p>
      <w:pPr>
        <w:pStyle w:val="Heading2"/>
      </w:pPr>
      <w:r>
        <w:t>Chapter 9 — Evidence Invalidation, Withdrawal &amp; Reliability State</w:t>
      </w:r>
    </w:p>
    <w:p>
      <w:r>
        <w:t>Chapter Purpose. Define how Evidence becomes invalidated, withdrawn, restricted or reliability-qualified while preserving historical traceability.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INVALIDATION ≠ DELETION. Historical records remain available according to governance/security rules while current use reflects the changed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Invalidation state</w:t>
      </w:r>
    </w:p>
    <w:p>
      <w:pPr>
        <w:pStyle w:val="ListBullet"/>
      </w:pPr>
      <w:r>
        <w:t>withdrawal</w:t>
      </w:r>
    </w:p>
    <w:p>
      <w:pPr>
        <w:pStyle w:val="ListBullet"/>
      </w:pPr>
      <w:r>
        <w:t>restriction</w:t>
      </w:r>
    </w:p>
    <w:p>
      <w:pPr>
        <w:pStyle w:val="ListBullet"/>
      </w:pPr>
      <w:r>
        <w:t>reliability qualifier</w:t>
      </w:r>
    </w:p>
    <w:p>
      <w:pPr>
        <w:pStyle w:val="ListBullet"/>
      </w:pPr>
      <w:r>
        <w:t>effective time</w:t>
      </w:r>
    </w:p>
    <w:p>
      <w:pPr>
        <w:pStyle w:val="ListBullet"/>
      </w:pPr>
      <w:r>
        <w:t>reason</w:t>
      </w:r>
    </w:p>
    <w:p>
      <w:pPr>
        <w:pStyle w:val="ListBullet"/>
      </w:pPr>
      <w:r>
        <w:t>downstream-impact trigger.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Evidence lifecycle step 06; NCIE-006/007 dependency-impact rules.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invalidation/withdrawal authority and appeal/review process.</w:t>
      </w:r>
    </w:p>
    <w:p>
      <w:pPr>
        <w:pStyle w:val="Heading2"/>
      </w:pPr>
      <w:r>
        <w:t>Chapter 10 — Evidence Relationships, Support &amp; Contradiction</w:t>
      </w:r>
    </w:p>
    <w:p>
      <w:r>
        <w:t>Chapter Purpose. Define governed relationships among Evidence and between Evidence, Hypotheses, Findings and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Contradicting Evidence must be preserved; support/contradiction relationships do not themselves resolve the dispute or create a Finding.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Supports</w:t>
      </w:r>
    </w:p>
    <w:p>
      <w:pPr>
        <w:pStyle w:val="ListBullet"/>
      </w:pPr>
      <w:r>
        <w:t>contradicts</w:t>
      </w:r>
    </w:p>
    <w:p>
      <w:pPr>
        <w:pStyle w:val="ListBullet"/>
      </w:pPr>
      <w:r>
        <w:t>corroborates</w:t>
      </w:r>
    </w:p>
    <w:p>
      <w:pPr>
        <w:pStyle w:val="ListBullet"/>
      </w:pPr>
      <w:r>
        <w:t>duplicates</w:t>
      </w:r>
    </w:p>
    <w:p>
      <w:pPr>
        <w:pStyle w:val="ListBullet"/>
      </w:pPr>
      <w:r>
        <w:t>derives-from</w:t>
      </w:r>
    </w:p>
    <w:p>
      <w:pPr>
        <w:pStyle w:val="ListBullet"/>
      </w:pPr>
      <w:r>
        <w:t>related-to</w:t>
      </w:r>
    </w:p>
    <w:p>
      <w:pPr>
        <w:pStyle w:val="ListBullet"/>
      </w:pPr>
      <w:r>
        <w:t>relationship provenance</w:t>
      </w:r>
    </w:p>
    <w:p>
      <w:pPr>
        <w:pStyle w:val="ListBullet"/>
      </w:pPr>
      <w:r>
        <w:t>relationship confidence/qualification.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Ch.17 relationship model and contradiction-preservation principle.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relationship vocabulary extensions and any rules for declaring independent corroboration.</w:t>
      </w:r>
    </w:p>
    <w:p>
      <w:pPr>
        <w:pStyle w:val="Heading2"/>
      </w:pPr>
      <w:r>
        <w:t>Chapter 11 — Contradiction Preservation &amp; Evidence Gaps</w:t>
      </w:r>
    </w:p>
    <w:p>
      <w:r>
        <w:t>Chapter Purpose. Ensure unresolved contradictions and missing evidence remain visible through analysis and decision support.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CONTRADICTION ≠ ERROR TO BE SILENTLY REMOVED. Evidence gaps must survive summaries, AI transformations and Context compression.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Contradiction set</w:t>
      </w:r>
    </w:p>
    <w:p>
      <w:pPr>
        <w:pStyle w:val="ListBullet"/>
      </w:pPr>
      <w:r>
        <w:t>gap record</w:t>
      </w:r>
    </w:p>
    <w:p>
      <w:pPr>
        <w:pStyle w:val="ListBullet"/>
      </w:pPr>
      <w:r>
        <w:t>unresolved status</w:t>
      </w:r>
    </w:p>
    <w:p>
      <w:pPr>
        <w:pStyle w:val="ListBullet"/>
      </w:pPr>
      <w:r>
        <w:t>discriminating evidence request</w:t>
      </w:r>
    </w:p>
    <w:p>
      <w:pPr>
        <w:pStyle w:val="ListBullet"/>
      </w:pPr>
      <w:r>
        <w:t>resolution event</w:t>
      </w:r>
    </w:p>
    <w:p>
      <w:pPr>
        <w:pStyle w:val="ListBullet"/>
      </w:pPr>
      <w:r>
        <w:t>provenance.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NCIE-001/005 evidence-gap behavior; NCIE-006 contradiction preservation; NCIE-007 grounding package.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governance for declaring a contradiction resolved versus merely superseded.</w:t>
      </w:r>
    </w:p>
    <w:p>
      <w:pPr>
        <w:pStyle w:val="Heading2"/>
      </w:pPr>
      <w:r>
        <w:t>Chapter 12 — Annotation, Commentary &amp; Expert Interpretation</w:t>
      </w:r>
    </w:p>
    <w:p>
      <w:r>
        <w:t>Chapter Purpose. Separate annotations and interpretations from underlying Evidence.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ANNOTATION ≠ ALTERATION OF SOURCE EVIDENCE. Human or ARGUS annotation remains separately attributable and versioned.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Annotation object/reference</w:t>
      </w:r>
    </w:p>
    <w:p>
      <w:pPr>
        <w:pStyle w:val="ListBullet"/>
      </w:pPr>
      <w:r>
        <w:t>author/origin</w:t>
      </w:r>
    </w:p>
    <w:p>
      <w:pPr>
        <w:pStyle w:val="ListBullet"/>
      </w:pPr>
      <w:r>
        <w:t>timestamp</w:t>
      </w:r>
    </w:p>
    <w:p>
      <w:pPr>
        <w:pStyle w:val="ListBullet"/>
      </w:pPr>
      <w:r>
        <w:t>scope</w:t>
      </w:r>
    </w:p>
    <w:p>
      <w:pPr>
        <w:pStyle w:val="ListBullet"/>
      </w:pPr>
      <w:r>
        <w:t>interpretation type</w:t>
      </w:r>
    </w:p>
    <w:p>
      <w:pPr>
        <w:pStyle w:val="ListBullet"/>
      </w:pPr>
      <w:r>
        <w:t>confidence/qualification</w:t>
      </w:r>
    </w:p>
    <w:p>
      <w:pPr>
        <w:pStyle w:val="ListBullet"/>
      </w:pPr>
      <w:r>
        <w:t>edit history.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Evidence lifecycle step 04; NCIE-005 ARGUS provenance; NCIE-007 AI output boundaries.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annotation classes may be considered authoritative expert opinion and under what review.</w:t>
      </w:r>
    </w:p>
    <w:p>
      <w:pPr>
        <w:pStyle w:val="Heading2"/>
      </w:pPr>
      <w:r>
        <w:t>Chapter 13 — Derived Evidence &amp; Transformation Lineage</w:t>
      </w:r>
    </w:p>
    <w:p>
      <w:r>
        <w:t>Chapter Purpose. Define lineage for transformations such as extraction, normalization, redaction, transcription, aggregation or forensic derivation.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Derived artifacts must retain lineage to source Evidence and transformations; transformation does not erase original source identity.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Transformation event</w:t>
      </w:r>
    </w:p>
    <w:p>
      <w:pPr>
        <w:pStyle w:val="ListBullet"/>
      </w:pPr>
      <w:r>
        <w:t>input Evidence</w:t>
      </w:r>
    </w:p>
    <w:p>
      <w:pPr>
        <w:pStyle w:val="ListBullet"/>
      </w:pPr>
      <w:r>
        <w:t>output artifact</w:t>
      </w:r>
    </w:p>
    <w:p>
      <w:pPr>
        <w:pStyle w:val="ListBullet"/>
      </w:pPr>
      <w:r>
        <w:t>tool/process</w:t>
      </w:r>
    </w:p>
    <w:p>
      <w:pPr>
        <w:pStyle w:val="ListBullet"/>
      </w:pPr>
      <w:r>
        <w:t>version</w:t>
      </w:r>
    </w:p>
    <w:p>
      <w:pPr>
        <w:pStyle w:val="ListBullet"/>
      </w:pPr>
      <w:r>
        <w:t>parameters/reference</w:t>
      </w:r>
    </w:p>
    <w:p>
      <w:pPr>
        <w:pStyle w:val="ListBullet"/>
      </w:pPr>
      <w:r>
        <w:t>integrity</w:t>
      </w:r>
    </w:p>
    <w:p>
      <w:pPr>
        <w:pStyle w:val="ListBullet"/>
      </w:pPr>
      <w:r>
        <w:t>quality/limitations.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NCIE-002/003 lineage requirements; NCIE-004 processing pipelines; NCIE-009 DLP/redaction/security.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which transformations may yield new Evidence versus remain non-Evidence analytical artifacts.</w:t>
      </w:r>
    </w:p>
    <w:p>
      <w:pPr>
        <w:pStyle w:val="Heading2"/>
      </w:pPr>
      <w:r>
        <w:t>Chapter 14 — AI / Agent / ARGUS Provenance Boundary</w:t>
      </w:r>
    </w:p>
    <w:p>
      <w:r>
        <w:t>Chapter Purpose. Define provenance for AI-derived summaries, analyses, hypotheses and transformations that reference Evidence.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AI/Agent/ARGUS output remains AI-derived unless an independent governed process establishes a legitimate Evidence object. VPF PASS ≠ EVIDENCE.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AI origin</w:t>
      </w:r>
    </w:p>
    <w:p>
      <w:pPr>
        <w:pStyle w:val="ListBullet"/>
      </w:pPr>
      <w:r>
        <w:t>Agent Run/Model route reference</w:t>
      </w:r>
    </w:p>
    <w:p>
      <w:pPr>
        <w:pStyle w:val="ListBullet"/>
      </w:pPr>
      <w:r>
        <w:t>Context/Evidence references</w:t>
      </w:r>
    </w:p>
    <w:p>
      <w:pPr>
        <w:pStyle w:val="ListBullet"/>
      </w:pPr>
      <w:r>
        <w:t>VPF state</w:t>
      </w:r>
    </w:p>
    <w:p>
      <w:pPr>
        <w:pStyle w:val="ListBullet"/>
      </w:pPr>
      <w:r>
        <w:t>human modification</w:t>
      </w:r>
    </w:p>
    <w:p>
      <w:pPr>
        <w:pStyle w:val="ListBullet"/>
      </w:pPr>
      <w:r>
        <w:t>output classification.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NCIE-005/006/007 AI provenance and Evidence boundaries; NCIE-003 Validated AI Result model.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whether any AI-assisted acquisition/transformation workflows can produce Evidence and what human controls they require.</w:t>
      </w:r>
    </w:p>
    <w:p>
      <w:pPr>
        <w:pStyle w:val="Heading2"/>
      </w:pPr>
      <w:r>
        <w:t>Chapter 15 — Human Contribution &amp; Attribution Provenance</w:t>
      </w:r>
    </w:p>
    <w:p>
      <w:r>
        <w:t>Chapter Purpose. Define attribution for human observations, annotations, assessments, approvals and corrections linked to Evidence.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Human-origin does not automatically make a statement Evidence or a Finding; provenance must identify the role/type of contribution.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Human principal</w:t>
      </w:r>
    </w:p>
    <w:p>
      <w:pPr>
        <w:pStyle w:val="ListBullet"/>
      </w:pPr>
      <w:r>
        <w:t>governance role</w:t>
      </w:r>
    </w:p>
    <w:p>
      <w:pPr>
        <w:pStyle w:val="ListBullet"/>
      </w:pPr>
      <w:r>
        <w:t>contribution type</w:t>
      </w:r>
    </w:p>
    <w:p>
      <w:pPr>
        <w:pStyle w:val="ListBullet"/>
      </w:pPr>
      <w:r>
        <w:t>time</w:t>
      </w:r>
    </w:p>
    <w:p>
      <w:pPr>
        <w:pStyle w:val="ListBullet"/>
      </w:pPr>
      <w:r>
        <w:t>source/Evidence references</w:t>
      </w:r>
    </w:p>
    <w:p>
      <w:pPr>
        <w:pStyle w:val="ListBullet"/>
      </w:pPr>
      <w:r>
        <w:t>review/approval state.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NCIE-003/005 Human-Primary provenance; NCIE-008 governance roles.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expert-witness/analyst/validator contribution classes if institutionally required.</w:t>
      </w:r>
    </w:p>
    <w:p>
      <w:pPr>
        <w:pStyle w:val="Heading2"/>
      </w:pPr>
      <w:r>
        <w:t>Chapter 16 — Temporal Semantics &amp; Decision-Time Evidence State</w:t>
      </w:r>
    </w:p>
    <w:p>
      <w:r>
        <w:t>Chapter Purpose. Preserve the Evidence state that existed at historical decision cutoffs.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DECISION-TIME RECONSTRUCTION ≠ CURRENT-STATE REWRITE. Later corrections, Evidence, invalidations or approvals must not silently contaminate the historical view.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Observed time</w:t>
      </w:r>
    </w:p>
    <w:p>
      <w:pPr>
        <w:pStyle w:val="ListBullet"/>
      </w:pPr>
      <w:r>
        <w:t>effective time</w:t>
      </w:r>
    </w:p>
    <w:p>
      <w:pPr>
        <w:pStyle w:val="ListBullet"/>
      </w:pPr>
      <w:r>
        <w:t>registration time</w:t>
      </w:r>
    </w:p>
    <w:p>
      <w:pPr>
        <w:pStyle w:val="ListBullet"/>
      </w:pPr>
      <w:r>
        <w:t>decision-time cutoff</w:t>
      </w:r>
    </w:p>
    <w:p>
      <w:pPr>
        <w:pStyle w:val="ListBullet"/>
      </w:pPr>
      <w:r>
        <w:t>historical version</w:t>
      </w:r>
    </w:p>
    <w:p>
      <w:pPr>
        <w:pStyle w:val="ListBullet"/>
      </w:pPr>
      <w:r>
        <w:t>current state</w:t>
      </w:r>
    </w:p>
    <w:p>
      <w:pPr>
        <w:pStyle w:val="ListBullet"/>
      </w:pPr>
      <w:r>
        <w:t>later comparative evidence.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temporal semantics; NCIE-006 Decision-Time architecture; NCIE-007 model/Tool historical state.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retention horizon and authority for formal historical reconstruction where not fixed upstream.</w:t>
      </w:r>
    </w:p>
    <w:p>
      <w:pPr>
        <w:pStyle w:val="Heading2"/>
      </w:pPr>
      <w:r>
        <w:t>Chapter 17 — Evidence-to-Hypothesis / Finding / Decision Traceability</w:t>
      </w:r>
    </w:p>
    <w:p>
      <w:r>
        <w:t>Chapter Purpose. Define traceability from Evidence through hypotheses and formal Findings/Decisions without collapsing the distinct states.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Evidence can support/contradict reasoning; it does not itself become a Finding or Decision. Every institutional Finding/Decision must remain separately attributable.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basis</w:t>
      </w:r>
    </w:p>
    <w:p>
      <w:pPr>
        <w:pStyle w:val="ListBullet"/>
      </w:pPr>
      <w:r>
        <w:t>hypothesis link</w:t>
      </w:r>
    </w:p>
    <w:p>
      <w:pPr>
        <w:pStyle w:val="ListBullet"/>
      </w:pPr>
      <w:r>
        <w:t>Finding support set</w:t>
      </w:r>
    </w:p>
    <w:p>
      <w:pPr>
        <w:pStyle w:val="ListBullet"/>
      </w:pPr>
      <w:r>
        <w:t>Decision support set</w:t>
      </w:r>
    </w:p>
    <w:p>
      <w:pPr>
        <w:pStyle w:val="ListBullet"/>
      </w:pPr>
      <w:r>
        <w:t>dissent/counterevidence</w:t>
      </w:r>
    </w:p>
    <w:p>
      <w:pPr>
        <w:pStyle w:val="ListBullet"/>
      </w:pPr>
      <w:r>
        <w:t>provenance chain.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source-to-decision boundary; NCIE-003 Ch.16/17; NCIE-005 Human-Primary boundaries.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minimum evidentiary package/authority for validating Findings where unresolved.</w:t>
      </w:r>
    </w:p>
    <w:p>
      <w:pPr>
        <w:pStyle w:val="Heading2"/>
      </w:pPr>
      <w:r>
        <w:t>Chapter 18 — Provenance Graph &amp; Lineage Architecture</w:t>
      </w:r>
    </w:p>
    <w:p>
      <w:r>
        <w:t>Chapter Purpose. Define enterprise lineage/provenance relationships across sources, Evidence, transformations, AI artifacts, Findings and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LINEAGE ≠ CAUSALITY. Graph connectivity cannot be represented as causal proof without governed analytical support.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Provenance nodes/edges</w:t>
      </w:r>
    </w:p>
    <w:p>
      <w:pPr>
        <w:pStyle w:val="ListBullet"/>
      </w:pPr>
      <w:r>
        <w:t>lineage relationships</w:t>
      </w:r>
    </w:p>
    <w:p>
      <w:pPr>
        <w:pStyle w:val="ListBullet"/>
      </w:pPr>
      <w:r>
        <w:t>version references</w:t>
      </w:r>
    </w:p>
    <w:p>
      <w:pPr>
        <w:pStyle w:val="ListBullet"/>
      </w:pPr>
      <w:r>
        <w:t>actor/process references</w:t>
      </w:r>
    </w:p>
    <w:p>
      <w:pPr>
        <w:pStyle w:val="ListBullet"/>
      </w:pPr>
      <w:r>
        <w:t>temporal edges</w:t>
      </w:r>
    </w:p>
    <w:p>
      <w:pPr>
        <w:pStyle w:val="ListBullet"/>
      </w:pPr>
      <w:r>
        <w:t>provenance query.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Ch.17/19/25; NCIE-002 graph/provenance architecture.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any institution-specific provenance relationship vocabulary beyond the canonical baseline.</w:t>
      </w:r>
    </w:p>
    <w:p>
      <w:pPr>
        <w:pStyle w:val="Heading2"/>
      </w:pPr>
      <w:r>
        <w:t>Chapter 19 — Audit Event Architecture</w:t>
      </w:r>
    </w:p>
    <w:p>
      <w:r>
        <w:t>Chapter Purpose. Define authoritative audit-event semantics distinct from provenance and telemetry.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AUDIT EVENT ≠ PROVENANCE RECORD and TELEMETRY ≠ AUDIT ≠ PROVENANCE. Audit exists to establish accountable actions/decisions, not merely operational observability.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Audit event</w:t>
      </w:r>
    </w:p>
    <w:p>
      <w:pPr>
        <w:pStyle w:val="ListBullet"/>
      </w:pPr>
      <w:r>
        <w:t>actor</w:t>
      </w:r>
    </w:p>
    <w:p>
      <w:pPr>
        <w:pStyle w:val="ListBullet"/>
      </w:pPr>
      <w:r>
        <w:t>action</w:t>
      </w:r>
    </w:p>
    <w:p>
      <w:pPr>
        <w:pStyle w:val="ListBullet"/>
      </w:pPr>
      <w:r>
        <w:t>target</w:t>
      </w:r>
    </w:p>
    <w:p>
      <w:pPr>
        <w:pStyle w:val="ListBullet"/>
      </w:pPr>
      <w:r>
        <w:t>decision/outcome</w:t>
      </w:r>
    </w:p>
    <w:p>
      <w:pPr>
        <w:pStyle w:val="ListBullet"/>
      </w:pPr>
      <w:r>
        <w:t>reason/purpose</w:t>
      </w:r>
    </w:p>
    <w:p>
      <w:pPr>
        <w:pStyle w:val="ListBullet"/>
      </w:pPr>
      <w:r>
        <w:t>time</w:t>
      </w:r>
    </w:p>
    <w:p>
      <w:pPr>
        <w:pStyle w:val="ListBullet"/>
      </w:pPr>
      <w:r>
        <w:t>authorization result</w:t>
      </w:r>
    </w:p>
    <w:p>
      <w:pPr>
        <w:pStyle w:val="ListBullet"/>
      </w:pPr>
      <w:r>
        <w:t>correlation/reference.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Audit Event model; NCIE-006/007/009 telemetry-audit-provenance boundaries.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audit-event classes requiring heightened assurance or independent review.</w:t>
      </w:r>
    </w:p>
    <w:p>
      <w:pPr>
        <w:pStyle w:val="Heading2"/>
      </w:pPr>
      <w:r>
        <w:t>Chapter 20 — Authorization &amp; Access Audit</w:t>
      </w:r>
    </w:p>
    <w:p>
      <w:r>
        <w:t>Chapter Purpose. Define audit requirements for evidence access, disclosure, export, modification and denied attempts.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Audit records current authorization decisions and actions but does not itself grant disclosure authority. Denials matter as well as permits.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Access request</w:t>
      </w:r>
    </w:p>
    <w:p>
      <w:pPr>
        <w:pStyle w:val="ListBullet"/>
      </w:pPr>
      <w:r>
        <w:t>permit/deny</w:t>
      </w:r>
    </w:p>
    <w:p>
      <w:pPr>
        <w:pStyle w:val="ListBullet"/>
      </w:pPr>
      <w:r>
        <w:t>principal</w:t>
      </w:r>
    </w:p>
    <w:p>
      <w:pPr>
        <w:pStyle w:val="ListBullet"/>
      </w:pPr>
      <w:r>
        <w:t>purpose</w:t>
      </w:r>
    </w:p>
    <w:p>
      <w:pPr>
        <w:pStyle w:val="ListBullet"/>
      </w:pPr>
      <w:r>
        <w:t>object/field scope</w:t>
      </w:r>
    </w:p>
    <w:p>
      <w:pPr>
        <w:pStyle w:val="ListBullet"/>
      </w:pPr>
      <w:r>
        <w:t>disclosure/export event</w:t>
      </w:r>
    </w:p>
    <w:p>
      <w:pPr>
        <w:pStyle w:val="ListBullet"/>
      </w:pPr>
      <w:r>
        <w:t>privileged access</w:t>
      </w:r>
    </w:p>
    <w:p>
      <w:pPr>
        <w:pStyle w:val="ListBullet"/>
      </w:pPr>
      <w:r>
        <w:t>failure/denial.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authorization audit; NCIE-009 IAM/Zero Trust; NCIE-008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heightened-audit access classes and who may review sensitive audit records.</w:t>
      </w:r>
    </w:p>
    <w:p>
      <w:pPr>
        <w:pStyle w:val="Heading2"/>
      </w:pPr>
      <w:r>
        <w:t>Chapter 21 — Governance Decision &amp; Approval Audit</w:t>
      </w:r>
    </w:p>
    <w:p>
      <w:r>
        <w:t>Chapter Purpose. Define auditability for institutional approvals, exceptions, Human Review outcomes and governance decisions affecting Evidence/provenance.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Governance Decision records must remain distinct from AI/VPF states and technical execution receipts.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Decision record reference</w:t>
      </w:r>
    </w:p>
    <w:p>
      <w:pPr>
        <w:pStyle w:val="ListBullet"/>
      </w:pPr>
      <w:r>
        <w:t>approver/role</w:t>
      </w:r>
    </w:p>
    <w:p>
      <w:pPr>
        <w:pStyle w:val="ListBullet"/>
      </w:pPr>
      <w:r>
        <w:t>target/scope/version</w:t>
      </w:r>
    </w:p>
    <w:p>
      <w:pPr>
        <w:pStyle w:val="ListBullet"/>
      </w:pPr>
      <w:r>
        <w:t>conditions</w:t>
      </w:r>
    </w:p>
    <w:p>
      <w:pPr>
        <w:pStyle w:val="ListBullet"/>
      </w:pPr>
      <w:r>
        <w:t>effective time</w:t>
      </w:r>
    </w:p>
    <w:p>
      <w:pPr>
        <w:pStyle w:val="ListBullet"/>
      </w:pPr>
      <w:r>
        <w:t>revocation/supersession</w:t>
      </w:r>
    </w:p>
    <w:p>
      <w:pPr>
        <w:pStyle w:val="ListBullet"/>
      </w:pPr>
      <w:r>
        <w:t>evidence basis.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 decision-right/RACI/approval evidence; NCIE-009 governance-security interface.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audit retention/access requirements for sensitive governance deliberation.</w:t>
      </w:r>
    </w:p>
    <w:p>
      <w:pPr>
        <w:pStyle w:val="Heading2"/>
      </w:pPr>
      <w:r>
        <w:t>Chapter 22 — Tool, Workflow &amp; External-System Provenance</w:t>
      </w:r>
    </w:p>
    <w:p>
      <w:r>
        <w:t>Chapter Purpose. Define provenance and audit links for Tool calls, workflows, connectors and external-system actions that acquire or affect Evidence.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Tool proposal ≠ execution; submission ≠ confirmed outcome. OUTCOME UNKNOWN must remain visible until reconciled.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Invocation</w:t>
      </w:r>
    </w:p>
    <w:p>
      <w:pPr>
        <w:pStyle w:val="ListBullet"/>
      </w:pPr>
      <w:r>
        <w:t>actor/effective principal</w:t>
      </w:r>
    </w:p>
    <w:p>
      <w:pPr>
        <w:pStyle w:val="ListBullet"/>
      </w:pPr>
      <w:r>
        <w:t>target</w:t>
      </w:r>
    </w:p>
    <w:p>
      <w:pPr>
        <w:pStyle w:val="ListBullet"/>
      </w:pPr>
      <w:r>
        <w:t>request</w:t>
      </w:r>
    </w:p>
    <w:p>
      <w:pPr>
        <w:pStyle w:val="ListBullet"/>
      </w:pPr>
      <w:r>
        <w:t>receipt</w:t>
      </w:r>
    </w:p>
    <w:p>
      <w:pPr>
        <w:pStyle w:val="ListBullet"/>
      </w:pPr>
      <w:r>
        <w:t>external identifier</w:t>
      </w:r>
    </w:p>
    <w:p>
      <w:pPr>
        <w:pStyle w:val="ListBullet"/>
      </w:pPr>
      <w:r>
        <w:t>outcome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Evidence impact.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Tool Gateway; NCIE-007 Tool execution receipts; NCIE-009 connector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which external actions require additional evidentiary receipts or dual confirmation.</w:t>
      </w:r>
    </w:p>
    <w:p>
      <w:pPr>
        <w:pStyle w:val="Heading2"/>
      </w:pPr>
      <w:r>
        <w:t>Chapter 23 — Security, Privacy &amp; Classification of Evidence/Audit Records</w:t>
      </w:r>
    </w:p>
    <w:p>
      <w:r>
        <w:t>Chapter Purpose. Apply NCIE-009 security constraints to Evidence, provenance and audit artifacts without redefining IAM.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PROVENANCE ≠ AUTHORITY TO DISCLOSE. Audit/provenance may itself reveal sensitive identities, investigations or protected data.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Classification inheritance</w:t>
      </w:r>
    </w:p>
    <w:p>
      <w:pPr>
        <w:pStyle w:val="ListBullet"/>
      </w:pPr>
      <w:r>
        <w:t>masking</w:t>
      </w:r>
    </w:p>
    <w:p>
      <w:pPr>
        <w:pStyle w:val="ListBullet"/>
      </w:pPr>
      <w:r>
        <w:t>protected identity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disclosure control</w:t>
      </w:r>
    </w:p>
    <w:p>
      <w:pPr>
        <w:pStyle w:val="ListBullet"/>
      </w:pPr>
      <w:r>
        <w:t>secure audit access</w:t>
      </w:r>
    </w:p>
    <w:p>
      <w:pPr>
        <w:pStyle w:val="ListBullet"/>
      </w:pPr>
      <w:r>
        <w:t>sensitive metadata.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classification; NCIE-006 privacy; NCIE-009 Security/IAM/DLP; NCIE-008 disclosure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special handling classes for highly sensitive Evidence/provenance/audit records.</w:t>
      </w:r>
    </w:p>
    <w:p>
      <w:pPr>
        <w:pStyle w:val="Heading2"/>
      </w:pPr>
      <w:r>
        <w:t>Chapter 24 — Retention, Legal Hold, Archival &amp; Disposition Interface</w:t>
      </w:r>
    </w:p>
    <w:p>
      <w:r>
        <w:t>Chapter Purpose. Define logical retention/disposition requirements for Evidence/provenance/audit without preempting physical storage or institutional retention policy.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Deletion/disposition must not falsify required history; legal hold/records policy overrides ordinary cleanup where applicable.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Retention class reference</w:t>
      </w:r>
    </w:p>
    <w:p>
      <w:pPr>
        <w:pStyle w:val="ListBullet"/>
      </w:pPr>
      <w:r>
        <w:t>legal hold</w:t>
      </w:r>
    </w:p>
    <w:p>
      <w:pPr>
        <w:pStyle w:val="ListBullet"/>
      </w:pPr>
      <w:r>
        <w:t>archival state</w:t>
      </w:r>
    </w:p>
    <w:p>
      <w:pPr>
        <w:pStyle w:val="ListBullet"/>
      </w:pPr>
      <w:r>
        <w:t>disposition approval</w:t>
      </w:r>
    </w:p>
    <w:p>
      <w:pPr>
        <w:pStyle w:val="ListBullet"/>
      </w:pPr>
      <w:r>
        <w:t>secure deletion reference</w:t>
      </w:r>
    </w:p>
    <w:p>
      <w:pPr>
        <w:pStyle w:val="ListBullet"/>
      </w:pPr>
      <w:r>
        <w:t>retained metadata</w:t>
      </w:r>
    </w:p>
    <w:p>
      <w:pPr>
        <w:pStyle w:val="ListBullet"/>
      </w:pPr>
      <w:r>
        <w:t>tombstone/history.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retention/legal hold; NCIE-008 governance; NCIE-014 physical storage downstream.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retention authorities/periods and legal-hold ownership where unresolved.</w:t>
      </w:r>
    </w:p>
    <w:p>
      <w:pPr>
        <w:pStyle w:val="Heading2"/>
      </w:pPr>
      <w:r>
        <w:t>Chapter 25 — Evidence Search, Discovery &amp; Retrieval Provenance</w:t>
      </w:r>
    </w:p>
    <w:p>
      <w:r>
        <w:t>Chapter Purpose. Define traceability for evidence discovery/search without making search indexes authoritative.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SEARCH RESULT ≠ EVIDENCE STATE. Discovery must resolve to governed Evidence objects and current authorization; semantic similarity is not authority to disclose.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Search request</w:t>
      </w:r>
    </w:p>
    <w:p>
      <w:pPr>
        <w:pStyle w:val="ListBullet"/>
      </w:pPr>
      <w:r>
        <w:t>query provenance</w:t>
      </w:r>
    </w:p>
    <w:p>
      <w:pPr>
        <w:pStyle w:val="ListBullet"/>
      </w:pPr>
      <w:r>
        <w:t>result reference</w:t>
      </w:r>
    </w:p>
    <w:p>
      <w:pPr>
        <w:pStyle w:val="ListBullet"/>
      </w:pPr>
      <w:r>
        <w:t>authorization filtering</w:t>
      </w:r>
    </w:p>
    <w:p>
      <w:pPr>
        <w:pStyle w:val="ListBullet"/>
      </w:pPr>
      <w:r>
        <w:t>index freshness</w:t>
      </w:r>
    </w:p>
    <w:p>
      <w:pPr>
        <w:pStyle w:val="ListBullet"/>
      </w:pPr>
      <w:r>
        <w:t>source resolution</w:t>
      </w:r>
    </w:p>
    <w:p>
      <w:pPr>
        <w:pStyle w:val="ListBullet"/>
      </w:pPr>
      <w:r>
        <w:t>retrieval receipt.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 search/vector boundaries; NCIE-009 retrieval security; NCIE-003 Evidence identity.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discoverability rules for restricted/withdrawn Evidence and cross-investigation discovery.</w:t>
      </w:r>
    </w:p>
    <w:p>
      <w:pPr>
        <w:pStyle w:val="Heading2"/>
      </w:pPr>
      <w:r>
        <w:t>Chapter 26 — Audit &amp; Provenance Reconciliation / Recovery</w:t>
      </w:r>
    </w:p>
    <w:p>
      <w:r>
        <w:t>Chapter Purpose. Define reconciliation after outages, restore, delayed events or partial failure.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RECOVERY ≠ REAUTHORIZATION and restored logs/indexes do not automatically become authoritative current state. Gaps must be explicitly identified.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Replay/reconciliation</w:t>
      </w:r>
    </w:p>
    <w:p>
      <w:pPr>
        <w:pStyle w:val="ListBullet"/>
      </w:pPr>
      <w:r>
        <w:t>duplicate suppression</w:t>
      </w:r>
    </w:p>
    <w:p>
      <w:pPr>
        <w:pStyle w:val="ListBullet"/>
      </w:pPr>
      <w:r>
        <w:t>missing-event detection</w:t>
      </w:r>
    </w:p>
    <w:p>
      <w:pPr>
        <w:pStyle w:val="ListBullet"/>
      </w:pPr>
      <w:r>
        <w:t>integrity verification</w:t>
      </w:r>
    </w:p>
    <w:p>
      <w:pPr>
        <w:pStyle w:val="ListBullet"/>
      </w:pPr>
      <w:r>
        <w:t>restored-state qualification</w:t>
      </w:r>
    </w:p>
    <w:p>
      <w:pPr>
        <w:pStyle w:val="ListBullet"/>
      </w:pPr>
      <w:r>
        <w:t>recovery provenance.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NCIE-004/006/009 recovery; NCIE-007 idempotency/reconciliation.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authority for declaring audit/provenance reconstruction complete after material gaps.</w:t>
      </w:r>
    </w:p>
    <w:p>
      <w:pPr>
        <w:pStyle w:val="Heading2"/>
      </w:pPr>
      <w:r>
        <w:t>Chapter 27 — Verification, Assurance &amp; Defensibility Testing</w:t>
      </w:r>
    </w:p>
    <w:p>
      <w:r>
        <w:t>Chapter Purpose. Define the test/assurance classes needed to demonstrate Evidence/provenance/audit integrity without duplicating NCIE-016.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SPECIFIED ≠ TEST EXECUTED. Defensibility requires demonstrable lineage, custody, contradiction preservation, temporal reconstruction and audit integrity.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Chain-of-custody tests</w:t>
      </w:r>
    </w:p>
    <w:p>
      <w:pPr>
        <w:pStyle w:val="ListBullet"/>
      </w:pPr>
      <w:r>
        <w:t>tamper tests</w:t>
      </w:r>
    </w:p>
    <w:p>
      <w:pPr>
        <w:pStyle w:val="ListBullet"/>
      </w:pPr>
      <w:r>
        <w:t>version-history tests</w:t>
      </w:r>
    </w:p>
    <w:p>
      <w:pPr>
        <w:pStyle w:val="ListBullet"/>
      </w:pPr>
      <w:r>
        <w:t>contradiction tests</w:t>
      </w:r>
    </w:p>
    <w:p>
      <w:pPr>
        <w:pStyle w:val="ListBullet"/>
      </w:pPr>
      <w:r>
        <w:t>Decision-Time reconstruction</w:t>
      </w:r>
    </w:p>
    <w:p>
      <w:pPr>
        <w:pStyle w:val="ListBullet"/>
      </w:pPr>
      <w:r>
        <w:t>audit completeness</w:t>
      </w:r>
    </w:p>
    <w:p>
      <w:pPr>
        <w:pStyle w:val="ListBullet"/>
      </w:pPr>
      <w:r>
        <w:t>authorization-audit tests</w:t>
      </w:r>
    </w:p>
    <w:p>
      <w:pPr>
        <w:pStyle w:val="ListBullet"/>
      </w:pPr>
      <w:r>
        <w:t>recovery tests.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acceptance criteria; NCIE-008 assurance; NCIE-009 test-status discipline; NCIE-016 downstream.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assurance independence, test acceptance authority and evidentiary standards for production readiness.</w:t>
      </w:r>
    </w:p>
    <w:p>
      <w:pPr>
        <w:pStyle w:val="Heading2"/>
      </w:pPr>
      <w:r>
        <w:t>Chapter 28 — Human Review Register &amp; Open Evidence/Audit Decisions</w:t>
      </w:r>
    </w:p>
    <w:p>
      <w:r>
        <w:t>Chapter Purpose. Consolidate unresolved NCIE-010 decisions without inventing policy or authority.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Deduplicate identical upstream governance/security decisions; create NCIE-010 items only for distinct Evidence/provenance/audit questions. Blocking scope must be precise.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 chapter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upstream dependency</w:t>
      </w:r>
    </w:p>
    <w:p>
      <w:pPr>
        <w:pStyle w:val="ListBullet"/>
      </w:pPr>
      <w:r>
        <w:t>status</w:t>
      </w:r>
    </w:p>
    <w:p>
      <w:pPr>
        <w:pStyle w:val="ListBullet"/>
      </w:pPr>
      <w:r>
        <w:t>resolution authority.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NCIE-008/009 Human Review registers; unresolved questions from Chapters 1–27 and 29.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which Evidence/provenance/audit items must resolve before full expansion/approval and which may remain open.</w:t>
      </w:r>
    </w:p>
    <w:p>
      <w:pPr>
        <w:pStyle w:val="Heading2"/>
      </w:pPr>
      <w:r>
        <w:t>Chapter 29 — Traceability, Acceptance &amp; Downstream Handover</w:t>
      </w:r>
    </w:p>
    <w:p>
      <w:r>
        <w:t>Chapter Purpose. Close traceability to NCIE-001–009 and define downstream handover.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only. Architecture approval does not prove implementation, evidentiary admissibility, operational audit completeness or test execution.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 matrix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skeleton fidelity</w:t>
      </w:r>
    </w:p>
    <w:p>
      <w:pPr>
        <w:pStyle w:val="ListBullet"/>
      </w:pPr>
      <w:r>
        <w:t>Human Review gate</w:t>
      </w:r>
    </w:p>
    <w:p>
      <w:pPr>
        <w:pStyle w:val="ListBullet"/>
      </w:pPr>
      <w:r>
        <w:t>downstream handover to NCIE-011/014/015/016.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Approved NCIE-001–009; Master Controlled Register; downstream integration/storage/operations/testing specs.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skeletal structure and authorize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NCIE-010 acceptance/sign-off authority.</w:t>
      </w:r>
    </w:p>
    <w:p>
      <w:pPr>
        <w:pStyle w:val="ListBullet"/>
      </w:pPr>
      <w:r>
        <w:t>Evidence qualification/admission authority and criteria.</w:t>
      </w:r>
    </w:p>
    <w:p>
      <w:pPr>
        <w:pStyle w:val="ListBullet"/>
      </w:pPr>
      <w:r>
        <w:t>Evidence classes requiring heightened acquisition or custody attestation.</w:t>
      </w:r>
    </w:p>
    <w:p>
      <w:pPr>
        <w:pStyle w:val="ListBullet"/>
      </w:pPr>
      <w:r>
        <w:t>Integrity assurance requirements by Evidence class.</w:t>
      </w:r>
    </w:p>
    <w:p>
      <w:pPr>
        <w:pStyle w:val="ListBullet"/>
      </w:pPr>
      <w:r>
        <w:t>Correction/invalidation/withdrawal authority.</w:t>
      </w:r>
    </w:p>
    <w:p>
      <w:pPr>
        <w:pStyle w:val="ListBullet"/>
      </w:pPr>
      <w:r>
        <w:t>Rules for declaring contradictions resolved and independent corroboration.</w:t>
      </w:r>
    </w:p>
    <w:p>
      <w:pPr>
        <w:pStyle w:val="ListBullet"/>
      </w:pPr>
      <w:r>
        <w:t>Derived-Evidence criteria and permitted transformation classes.</w:t>
      </w:r>
    </w:p>
    <w:p>
      <w:pPr>
        <w:pStyle w:val="ListBullet"/>
      </w:pPr>
      <w:r>
        <w:t>AI-assisted acquisition/transformation controls.</w:t>
      </w:r>
    </w:p>
    <w:p>
      <w:pPr>
        <w:pStyle w:val="ListBullet"/>
      </w:pPr>
      <w:r>
        <w:t>Formal Finding evidentiary-package requirements.</w:t>
      </w:r>
    </w:p>
    <w:p>
      <w:pPr>
        <w:pStyle w:val="ListBullet"/>
      </w:pPr>
      <w:r>
        <w:t>Heightened audit-event/access classes and sensitive-audit reviewers.</w:t>
      </w:r>
    </w:p>
    <w:p>
      <w:pPr>
        <w:pStyle w:val="ListBullet"/>
      </w:pPr>
      <w:r>
        <w:t>Retention/legal-hold authorities and periods.</w:t>
      </w:r>
    </w:p>
    <w:p>
      <w:pPr>
        <w:pStyle w:val="ListBullet"/>
      </w:pPr>
      <w:r>
        <w:t>Restricted/withdrawn Evidence discoverability.</w:t>
      </w:r>
    </w:p>
    <w:p>
      <w:pPr>
        <w:pStyle w:val="ListBullet"/>
      </w:pPr>
      <w:r>
        <w:t>Authority for declaring provenance/audit reconstruction complete after gaps.</w:t>
      </w:r>
    </w:p>
    <w:p>
      <w:pPr>
        <w:pStyle w:val="ListBullet"/>
      </w:pPr>
      <w:r>
        <w:t>Assurance independence and production-readiness acceptance authority.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resolve Human Review items, prove implementation, certify Evidence admissibility, or establish that audit/defensibility tests have been executed.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NCIE-010 | EVIDENCE, PROVENANCE &amp; AUDIT ARCHITECTURE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