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NCIE-010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Evidence, Provenance &amp; Audit Architecture — IN DEVELOPMENT / FOR HUMAN REVIEW</w:t>
      </w:r>
    </w:p>
    <w:p>
      <w:pPr>
        <w:spacing w:after="200"/>
      </w:pPr>
      <w:r>
        <w:rPr>
          <w:sz w:val="19"/>
          <w:szCs w:val="19"/>
        </w:rPr>
        <w:t xml:space="preserve">Maps each of the 29 approved NCIE-010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29 chapters (directive item 70 hard gate — the exact discipline established by the NCIE-009 Chapter-27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architecture boundary; HR focus: acceptance authority/audit overlap.</w:t>
            </w:r>
          </w:p>
        </w:tc>
        <w:tc>
          <w:tcPr>
            <w:tcW w:type="dxa" w:w="2600"/>
            <w:tcMar>
              <w:top w:type="dxa" w:w="60"/>
              <w:left w:type="dxa" w:w="80"/>
              <w:bottom w:type="dxa" w:w="60"/>
              <w:right w:type="dxa" w:w="80"/>
            </w:tcMar>
          </w:tcPr>
          <w:p>
            <w:r>
              <w:rPr>
                <w:b w:val="false"/>
                <w:bCs w:val="false"/>
                <w:sz w:val="17"/>
                <w:szCs w:val="17"/>
              </w:rPr>
              <w:t xml:space="preserve">§1.0-1.3, Table 1 (boundary), Table 2 (RACI), HR10-1-1.</w:t>
            </w:r>
          </w:p>
        </w:tc>
        <w:tc>
          <w:tcPr>
            <w:tcW w:type="dxa" w:w="2400"/>
            <w:tcMar>
              <w:top w:type="dxa" w:w="60"/>
              <w:left w:type="dxa" w:w="80"/>
              <w:bottom w:type="dxa" w:w="60"/>
              <w:right w:type="dxa" w:w="80"/>
            </w:tcMar>
          </w:tcPr>
          <w:p>
            <w:r>
              <w:rPr>
                <w:b w:val="false"/>
                <w:bCs w:val="false"/>
                <w:sz w:val="17"/>
                <w:szCs w:val="17"/>
              </w:rPr>
              <w:t xml:space="preserve">Master Controlled Register v2.0; NCIE-002 Ch.4; NCIE-003 Ch.17/25; NCIE-006/007.</w:t>
            </w:r>
          </w:p>
        </w:tc>
        <w:tc>
          <w:tcPr>
            <w:tcW w:type="dxa" w:w="2400"/>
            <w:tcMar>
              <w:top w:type="dxa" w:w="60"/>
              <w:left w:type="dxa" w:w="80"/>
              <w:bottom w:type="dxa" w:w="60"/>
              <w:right w:type="dxa" w:w="80"/>
            </w:tcMar>
          </w:tcPr>
          <w:p>
            <w:r>
              <w:rPr>
                <w:b w:val="false"/>
                <w:bCs w:val="false"/>
                <w:sz w:val="17"/>
                <w:szCs w:val="17"/>
              </w:rPr>
              <w:t xml:space="preserve">HR10-1-1 cross-referenced to NCIE-008 HR8-10-1 (directive item 57 dedup).</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Evidence &amp; provenance doctrine; HR focus: institution-specific admissibility principles.</w:t>
            </w:r>
          </w:p>
        </w:tc>
        <w:tc>
          <w:tcPr>
            <w:tcW w:type="dxa" w:w="2600"/>
            <w:tcMar>
              <w:top w:type="dxa" w:w="60"/>
              <w:left w:type="dxa" w:w="80"/>
              <w:bottom w:type="dxa" w:w="60"/>
              <w:right w:type="dxa" w:w="80"/>
            </w:tcMar>
          </w:tcPr>
          <w:p>
            <w:r>
              <w:rPr>
                <w:b w:val="false"/>
                <w:bCs w:val="false"/>
                <w:sz w:val="17"/>
                <w:szCs w:val="17"/>
              </w:rPr>
              <w:t xml:space="preserve">§2.0-2.3, Table 3 (RACI), HR10-2-1.</w:t>
            </w:r>
          </w:p>
        </w:tc>
        <w:tc>
          <w:tcPr>
            <w:tcW w:type="dxa" w:w="2400"/>
            <w:tcMar>
              <w:top w:type="dxa" w:w="60"/>
              <w:left w:type="dxa" w:w="80"/>
              <w:bottom w:type="dxa" w:w="60"/>
              <w:right w:type="dxa" w:w="80"/>
            </w:tcMar>
          </w:tcPr>
          <w:p>
            <w:r>
              <w:rPr>
                <w:b w:val="false"/>
                <w:bCs w:val="false"/>
                <w:sz w:val="17"/>
                <w:szCs w:val="17"/>
              </w:rPr>
              <w:t xml:space="preserve">NCIE-001; NCIE-003; NCIE-005/007.</w:t>
            </w:r>
          </w:p>
        </w:tc>
        <w:tc>
          <w:tcPr>
            <w:tcW w:type="dxa" w:w="2400"/>
            <w:tcMar>
              <w:top w:type="dxa" w:w="60"/>
              <w:left w:type="dxa" w:w="80"/>
              <w:bottom w:type="dxa" w:w="60"/>
              <w:right w:type="dxa" w:w="80"/>
            </w:tcMar>
          </w:tcPr>
          <w:p>
            <w:r>
              <w:rPr>
                <w:b w:val="false"/>
                <w:bCs w:val="false"/>
                <w:sz w:val="17"/>
                <w:szCs w:val="17"/>
              </w:rPr>
              <w:t xml:space="preserve">HR10-2-1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Evidence Object Model &amp; canonical interfaces; HR focus: canonical-amendment triggers.</w:t>
            </w:r>
          </w:p>
        </w:tc>
        <w:tc>
          <w:tcPr>
            <w:tcW w:type="dxa" w:w="2600"/>
            <w:tcMar>
              <w:top w:type="dxa" w:w="60"/>
              <w:left w:type="dxa" w:w="80"/>
              <w:bottom w:type="dxa" w:w="60"/>
              <w:right w:type="dxa" w:w="80"/>
            </w:tcMar>
          </w:tcPr>
          <w:p>
            <w:r>
              <w:rPr>
                <w:b w:val="false"/>
                <w:bCs w:val="false"/>
                <w:sz w:val="17"/>
                <w:szCs w:val="17"/>
              </w:rPr>
              <w:t xml:space="preserve">§3.0-3.2, Table 4 (RACI), HR10-3-1.</w:t>
            </w:r>
          </w:p>
        </w:tc>
        <w:tc>
          <w:tcPr>
            <w:tcW w:type="dxa" w:w="2400"/>
            <w:tcMar>
              <w:top w:type="dxa" w:w="60"/>
              <w:left w:type="dxa" w:w="80"/>
              <w:bottom w:type="dxa" w:w="60"/>
              <w:right w:type="dxa" w:w="80"/>
            </w:tcMar>
          </w:tcPr>
          <w:p>
            <w:r>
              <w:rPr>
                <w:b w:val="false"/>
                <w:bCs w:val="false"/>
                <w:sz w:val="17"/>
                <w:szCs w:val="17"/>
              </w:rPr>
              <w:t xml:space="preserve">NCIE-003 Ch.17/25.</w:t>
            </w:r>
          </w:p>
        </w:tc>
        <w:tc>
          <w:tcPr>
            <w:tcW w:type="dxa" w:w="2400"/>
            <w:tcMar>
              <w:top w:type="dxa" w:w="60"/>
              <w:left w:type="dxa" w:w="80"/>
              <w:bottom w:type="dxa" w:w="60"/>
              <w:right w:type="dxa" w:w="80"/>
            </w:tcMar>
          </w:tcPr>
          <w:p>
            <w:r>
              <w:rPr>
                <w:b w:val="false"/>
                <w:bCs w:val="false"/>
                <w:sz w:val="17"/>
                <w:szCs w:val="17"/>
              </w:rPr>
              <w:t xml:space="preserve">HR10-3-1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Source registration &amp; Evidence qualification; HR focus: qualification authorities/criteria.</w:t>
            </w:r>
          </w:p>
        </w:tc>
        <w:tc>
          <w:tcPr>
            <w:tcW w:type="dxa" w:w="2600"/>
            <w:tcMar>
              <w:top w:type="dxa" w:w="60"/>
              <w:left w:type="dxa" w:w="80"/>
              <w:bottom w:type="dxa" w:w="60"/>
              <w:right w:type="dxa" w:w="80"/>
            </w:tcMar>
          </w:tcPr>
          <w:p>
            <w:r>
              <w:rPr>
                <w:b w:val="false"/>
                <w:bCs w:val="false"/>
                <w:sz w:val="17"/>
                <w:szCs w:val="17"/>
              </w:rPr>
              <w:t xml:space="preserve">§4.0-4.3, Table 5 Evidence Lifecycle Matrix (directive item 50), Table 6 (RACI), HR10-4-1.</w:t>
            </w:r>
          </w:p>
        </w:tc>
        <w:tc>
          <w:tcPr>
            <w:tcW w:type="dxa" w:w="2400"/>
            <w:tcMar>
              <w:top w:type="dxa" w:w="60"/>
              <w:left w:type="dxa" w:w="80"/>
              <w:bottom w:type="dxa" w:w="60"/>
              <w:right w:type="dxa" w:w="80"/>
            </w:tcMar>
          </w:tcPr>
          <w:p>
            <w:r>
              <w:rPr>
                <w:b w:val="false"/>
                <w:bCs w:val="false"/>
                <w:sz w:val="17"/>
                <w:szCs w:val="17"/>
              </w:rPr>
              <w:t xml:space="preserve">NCIE-003 Evidence lifecycle step 01; NCIE-001.</w:t>
            </w:r>
          </w:p>
        </w:tc>
        <w:tc>
          <w:tcPr>
            <w:tcW w:type="dxa" w:w="2400"/>
            <w:tcMar>
              <w:top w:type="dxa" w:w="60"/>
              <w:left w:type="dxa" w:w="80"/>
              <w:bottom w:type="dxa" w:w="60"/>
              <w:right w:type="dxa" w:w="80"/>
            </w:tcMar>
          </w:tcPr>
          <w:p>
            <w:r>
              <w:rPr>
                <w:b w:val="false"/>
                <w:bCs w:val="false"/>
                <w:sz w:val="17"/>
                <w:szCs w:val="17"/>
              </w:rPr>
              <w:t xml:space="preserve">HR10-4-1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Evidence acquisition &amp; capture provenance; HR focus: heightened attestation classes.</w:t>
            </w:r>
          </w:p>
        </w:tc>
        <w:tc>
          <w:tcPr>
            <w:tcW w:type="dxa" w:w="2600"/>
            <w:tcMar>
              <w:top w:type="dxa" w:w="60"/>
              <w:left w:type="dxa" w:w="80"/>
              <w:bottom w:type="dxa" w:w="60"/>
              <w:right w:type="dxa" w:w="80"/>
            </w:tcMar>
          </w:tcPr>
          <w:p>
            <w:r>
              <w:rPr>
                <w:b w:val="false"/>
                <w:bCs w:val="false"/>
                <w:sz w:val="17"/>
                <w:szCs w:val="17"/>
              </w:rPr>
              <w:t xml:space="preserve">§5.0-5.2, Table 7 (RACI), HR10-5-1.</w:t>
            </w:r>
          </w:p>
        </w:tc>
        <w:tc>
          <w:tcPr>
            <w:tcW w:type="dxa" w:w="2400"/>
            <w:tcMar>
              <w:top w:type="dxa" w:w="60"/>
              <w:left w:type="dxa" w:w="80"/>
              <w:bottom w:type="dxa" w:w="60"/>
              <w:right w:type="dxa" w:w="80"/>
            </w:tcMar>
          </w:tcPr>
          <w:p>
            <w:r>
              <w:rPr>
                <w:b w:val="false"/>
                <w:bCs w:val="false"/>
                <w:sz w:val="17"/>
                <w:szCs w:val="17"/>
              </w:rPr>
              <w:t xml:space="preserve">NCIE-001; NCIE-003; NCIE-004/011.</w:t>
            </w:r>
          </w:p>
        </w:tc>
        <w:tc>
          <w:tcPr>
            <w:tcW w:type="dxa" w:w="2400"/>
            <w:tcMar>
              <w:top w:type="dxa" w:w="60"/>
              <w:left w:type="dxa" w:w="80"/>
              <w:bottom w:type="dxa" w:w="60"/>
              <w:right w:type="dxa" w:w="80"/>
            </w:tcMar>
          </w:tcPr>
          <w:p>
            <w:r>
              <w:rPr>
                <w:b w:val="false"/>
                <w:bCs w:val="false"/>
                <w:sz w:val="17"/>
                <w:szCs w:val="17"/>
              </w:rPr>
              <w:t xml:space="preserve">HR10-5-1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Integrity metadata, hashing &amp; tamper evidence; HR focus: integrity assurance by Evidence class.</w:t>
            </w:r>
          </w:p>
        </w:tc>
        <w:tc>
          <w:tcPr>
            <w:tcW w:type="dxa" w:w="2600"/>
            <w:tcMar>
              <w:top w:type="dxa" w:w="60"/>
              <w:left w:type="dxa" w:w="80"/>
              <w:bottom w:type="dxa" w:w="60"/>
              <w:right w:type="dxa" w:w="80"/>
            </w:tcMar>
          </w:tcPr>
          <w:p>
            <w:r>
              <w:rPr>
                <w:b w:val="false"/>
                <w:bCs w:val="false"/>
                <w:sz w:val="17"/>
                <w:szCs w:val="17"/>
              </w:rPr>
              <w:t xml:space="preserve">§6.0-6.2, Table 8 (RACI), HR10-6-1.</w:t>
            </w:r>
          </w:p>
        </w:tc>
        <w:tc>
          <w:tcPr>
            <w:tcW w:type="dxa" w:w="2400"/>
            <w:tcMar>
              <w:top w:type="dxa" w:w="60"/>
              <w:left w:type="dxa" w:w="80"/>
              <w:bottom w:type="dxa" w:w="60"/>
              <w:right w:type="dxa" w:w="80"/>
            </w:tcMar>
          </w:tcPr>
          <w:p>
            <w:r>
              <w:rPr>
                <w:b w:val="false"/>
                <w:bCs w:val="false"/>
                <w:sz w:val="17"/>
                <w:szCs w:val="17"/>
              </w:rPr>
              <w:t xml:space="preserve">NCIE-003 Ch.17; NCIE-009.</w:t>
            </w:r>
          </w:p>
        </w:tc>
        <w:tc>
          <w:tcPr>
            <w:tcW w:type="dxa" w:w="2400"/>
            <w:tcMar>
              <w:top w:type="dxa" w:w="60"/>
              <w:left w:type="dxa" w:w="80"/>
              <w:bottom w:type="dxa" w:w="60"/>
              <w:right w:type="dxa" w:w="80"/>
            </w:tcMar>
          </w:tcPr>
          <w:p>
            <w:r>
              <w:rPr>
                <w:b w:val="false"/>
                <w:bCs w:val="false"/>
                <w:sz w:val="17"/>
                <w:szCs w:val="17"/>
              </w:rPr>
              <w:t xml:space="preserve">HR10-6-1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Chain of custody architecture; HR focus: custody attestation/dual-control classes.</w:t>
            </w:r>
          </w:p>
        </w:tc>
        <w:tc>
          <w:tcPr>
            <w:tcW w:type="dxa" w:w="2600"/>
            <w:tcMar>
              <w:top w:type="dxa" w:w="60"/>
              <w:left w:type="dxa" w:w="80"/>
              <w:bottom w:type="dxa" w:w="60"/>
              <w:right w:type="dxa" w:w="80"/>
            </w:tcMar>
          </w:tcPr>
          <w:p>
            <w:r>
              <w:rPr>
                <w:b w:val="false"/>
                <w:bCs w:val="false"/>
                <w:sz w:val="17"/>
                <w:szCs w:val="17"/>
              </w:rPr>
              <w:t xml:space="preserve">§7.0-7.3, Table 9 Chain-of-Custody Matrix (directive item 51), Table 10 (RACI), HR10-7-1.</w:t>
            </w:r>
          </w:p>
        </w:tc>
        <w:tc>
          <w:tcPr>
            <w:tcW w:type="dxa" w:w="2400"/>
            <w:tcMar>
              <w:top w:type="dxa" w:w="60"/>
              <w:left w:type="dxa" w:w="80"/>
              <w:bottom w:type="dxa" w:w="60"/>
              <w:right w:type="dxa" w:w="80"/>
            </w:tcMar>
          </w:tcPr>
          <w:p>
            <w:r>
              <w:rPr>
                <w:b w:val="false"/>
                <w:bCs w:val="false"/>
                <w:sz w:val="17"/>
                <w:szCs w:val="17"/>
              </w:rPr>
              <w:t xml:space="preserve">NCIE-003 Ch.17 §17.6; NCIE-006/007.</w:t>
            </w:r>
          </w:p>
        </w:tc>
        <w:tc>
          <w:tcPr>
            <w:tcW w:type="dxa" w:w="2400"/>
            <w:tcMar>
              <w:top w:type="dxa" w:w="60"/>
              <w:left w:type="dxa" w:w="80"/>
              <w:bottom w:type="dxa" w:w="60"/>
              <w:right w:type="dxa" w:w="80"/>
            </w:tcMar>
          </w:tcPr>
          <w:p>
            <w:r>
              <w:rPr>
                <w:b w:val="false"/>
                <w:bCs w:val="false"/>
                <w:sz w:val="17"/>
                <w:szCs w:val="17"/>
              </w:rPr>
              <w:t xml:space="preserve">HR10-7-1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Evidence versioning, correction &amp; supersession; HR focus: correction authority/validation.</w:t>
            </w:r>
          </w:p>
        </w:tc>
        <w:tc>
          <w:tcPr>
            <w:tcW w:type="dxa" w:w="2600"/>
            <w:tcMar>
              <w:top w:type="dxa" w:w="60"/>
              <w:left w:type="dxa" w:w="80"/>
              <w:bottom w:type="dxa" w:w="60"/>
              <w:right w:type="dxa" w:w="80"/>
            </w:tcMar>
          </w:tcPr>
          <w:p>
            <w:r>
              <w:rPr>
                <w:b w:val="false"/>
                <w:bCs w:val="false"/>
                <w:sz w:val="17"/>
                <w:szCs w:val="17"/>
              </w:rPr>
              <w:t xml:space="preserve">§8.0-8.2, Table 11 (RACI), HR10-8-1.</w:t>
            </w:r>
          </w:p>
        </w:tc>
        <w:tc>
          <w:tcPr>
            <w:tcW w:type="dxa" w:w="2400"/>
            <w:tcMar>
              <w:top w:type="dxa" w:w="60"/>
              <w:left w:type="dxa" w:w="80"/>
              <w:bottom w:type="dxa" w:w="60"/>
              <w:right w:type="dxa" w:w="80"/>
            </w:tcMar>
          </w:tcPr>
          <w:p>
            <w:r>
              <w:rPr>
                <w:b w:val="false"/>
                <w:bCs w:val="false"/>
                <w:sz w:val="17"/>
                <w:szCs w:val="17"/>
              </w:rPr>
              <w:t xml:space="preserve">NCIE-003 Evidence lifecycle; NCIE-006.</w:t>
            </w:r>
          </w:p>
        </w:tc>
        <w:tc>
          <w:tcPr>
            <w:tcW w:type="dxa" w:w="2400"/>
            <w:tcMar>
              <w:top w:type="dxa" w:w="60"/>
              <w:left w:type="dxa" w:w="80"/>
              <w:bottom w:type="dxa" w:w="60"/>
              <w:right w:type="dxa" w:w="80"/>
            </w:tcMar>
          </w:tcPr>
          <w:p>
            <w:r>
              <w:rPr>
                <w:b w:val="false"/>
                <w:bCs w:val="false"/>
                <w:sz w:val="17"/>
                <w:szCs w:val="17"/>
              </w:rPr>
              <w:t xml:space="preserve">HR10-8-1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Evidence invalidation, withdrawal &amp; reliability state; HR focus: invalidation authority/appeal.</w:t>
            </w:r>
          </w:p>
        </w:tc>
        <w:tc>
          <w:tcPr>
            <w:tcW w:type="dxa" w:w="2600"/>
            <w:tcMar>
              <w:top w:type="dxa" w:w="60"/>
              <w:left w:type="dxa" w:w="80"/>
              <w:bottom w:type="dxa" w:w="60"/>
              <w:right w:type="dxa" w:w="80"/>
            </w:tcMar>
          </w:tcPr>
          <w:p>
            <w:r>
              <w:rPr>
                <w:b w:val="false"/>
                <w:bCs w:val="false"/>
                <w:sz w:val="17"/>
                <w:szCs w:val="17"/>
              </w:rPr>
              <w:t xml:space="preserve">§9.0-9.2, Table 12 (RACI), HR10-9-1.</w:t>
            </w:r>
          </w:p>
        </w:tc>
        <w:tc>
          <w:tcPr>
            <w:tcW w:type="dxa" w:w="2400"/>
            <w:tcMar>
              <w:top w:type="dxa" w:w="60"/>
              <w:left w:type="dxa" w:w="80"/>
              <w:bottom w:type="dxa" w:w="60"/>
              <w:right w:type="dxa" w:w="80"/>
            </w:tcMar>
          </w:tcPr>
          <w:p>
            <w:r>
              <w:rPr>
                <w:b w:val="false"/>
                <w:bCs w:val="false"/>
                <w:sz w:val="17"/>
                <w:szCs w:val="17"/>
              </w:rPr>
              <w:t xml:space="preserve">NCIE-003 Evidence lifecycle step 06; NCIE-006/007.</w:t>
            </w:r>
          </w:p>
        </w:tc>
        <w:tc>
          <w:tcPr>
            <w:tcW w:type="dxa" w:w="2400"/>
            <w:tcMar>
              <w:top w:type="dxa" w:w="60"/>
              <w:left w:type="dxa" w:w="80"/>
              <w:bottom w:type="dxa" w:w="60"/>
              <w:right w:type="dxa" w:w="80"/>
            </w:tcMar>
          </w:tcPr>
          <w:p>
            <w:r>
              <w:rPr>
                <w:b w:val="false"/>
                <w:bCs w:val="false"/>
                <w:sz w:val="17"/>
                <w:szCs w:val="17"/>
              </w:rPr>
              <w:t xml:space="preserve">HR10-9-1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Evidence relationships, support &amp; contradiction; HR focus: relationship vocabulary extensions.</w:t>
            </w:r>
          </w:p>
        </w:tc>
        <w:tc>
          <w:tcPr>
            <w:tcW w:type="dxa" w:w="2600"/>
            <w:tcMar>
              <w:top w:type="dxa" w:w="60"/>
              <w:left w:type="dxa" w:w="80"/>
              <w:bottom w:type="dxa" w:w="60"/>
              <w:right w:type="dxa" w:w="80"/>
            </w:tcMar>
          </w:tcPr>
          <w:p>
            <w:r>
              <w:rPr>
                <w:b w:val="false"/>
                <w:bCs w:val="false"/>
                <w:sz w:val="17"/>
                <w:szCs w:val="17"/>
              </w:rPr>
              <w:t xml:space="preserve">§10.0-10.3, Table 13 Evidence Relationship Matrix (directive item 52), Table 14 (RACI), HR10-10-1.</w:t>
            </w:r>
          </w:p>
        </w:tc>
        <w:tc>
          <w:tcPr>
            <w:tcW w:type="dxa" w:w="2400"/>
            <w:tcMar>
              <w:top w:type="dxa" w:w="60"/>
              <w:left w:type="dxa" w:w="80"/>
              <w:bottom w:type="dxa" w:w="60"/>
              <w:right w:type="dxa" w:w="80"/>
            </w:tcMar>
          </w:tcPr>
          <w:p>
            <w:r>
              <w:rPr>
                <w:b w:val="false"/>
                <w:bCs w:val="false"/>
                <w:sz w:val="17"/>
                <w:szCs w:val="17"/>
              </w:rPr>
              <w:t xml:space="preserve">NCIE-003 Ch.17 relationship model.</w:t>
            </w:r>
          </w:p>
        </w:tc>
        <w:tc>
          <w:tcPr>
            <w:tcW w:type="dxa" w:w="2400"/>
            <w:tcMar>
              <w:top w:type="dxa" w:w="60"/>
              <w:left w:type="dxa" w:w="80"/>
              <w:bottom w:type="dxa" w:w="60"/>
              <w:right w:type="dxa" w:w="80"/>
            </w:tcMar>
          </w:tcPr>
          <w:p>
            <w:r>
              <w:rPr>
                <w:b w:val="false"/>
                <w:bCs w:val="false"/>
                <w:sz w:val="17"/>
                <w:szCs w:val="17"/>
              </w:rPr>
              <w:t xml:space="preserve">HR10-10-1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Contradiction preservation &amp; evidence gaps; HR focus: contradiction-resolution governance.</w:t>
            </w:r>
          </w:p>
        </w:tc>
        <w:tc>
          <w:tcPr>
            <w:tcW w:type="dxa" w:w="2600"/>
            <w:tcMar>
              <w:top w:type="dxa" w:w="60"/>
              <w:left w:type="dxa" w:w="80"/>
              <w:bottom w:type="dxa" w:w="60"/>
              <w:right w:type="dxa" w:w="80"/>
            </w:tcMar>
          </w:tcPr>
          <w:p>
            <w:r>
              <w:rPr>
                <w:b w:val="false"/>
                <w:bCs w:val="false"/>
                <w:sz w:val="17"/>
                <w:szCs w:val="17"/>
              </w:rPr>
              <w:t xml:space="preserve">§11.0-11.2, Table 15 (RACI), HR10-11-1.</w:t>
            </w:r>
          </w:p>
        </w:tc>
        <w:tc>
          <w:tcPr>
            <w:tcW w:type="dxa" w:w="2400"/>
            <w:tcMar>
              <w:top w:type="dxa" w:w="60"/>
              <w:left w:type="dxa" w:w="80"/>
              <w:bottom w:type="dxa" w:w="60"/>
              <w:right w:type="dxa" w:w="80"/>
            </w:tcMar>
          </w:tcPr>
          <w:p>
            <w:r>
              <w:rPr>
                <w:b w:val="false"/>
                <w:bCs w:val="false"/>
                <w:sz w:val="17"/>
                <w:szCs w:val="17"/>
              </w:rPr>
              <w:t xml:space="preserve">NCIE-001/005; NCIE-006; NCIE-007.</w:t>
            </w:r>
          </w:p>
        </w:tc>
        <w:tc>
          <w:tcPr>
            <w:tcW w:type="dxa" w:w="2400"/>
            <w:tcMar>
              <w:top w:type="dxa" w:w="60"/>
              <w:left w:type="dxa" w:w="80"/>
              <w:bottom w:type="dxa" w:w="60"/>
              <w:right w:type="dxa" w:w="80"/>
            </w:tcMar>
          </w:tcPr>
          <w:p>
            <w:r>
              <w:rPr>
                <w:b w:val="false"/>
                <w:bCs w:val="false"/>
                <w:sz w:val="17"/>
                <w:szCs w:val="17"/>
              </w:rPr>
              <w:t xml:space="preserve">HR10-11-1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Annotation, commentary &amp; expert interpretation; HR focus: authoritative expert-annotation classes.</w:t>
            </w:r>
          </w:p>
        </w:tc>
        <w:tc>
          <w:tcPr>
            <w:tcW w:type="dxa" w:w="2600"/>
            <w:tcMar>
              <w:top w:type="dxa" w:w="60"/>
              <w:left w:type="dxa" w:w="80"/>
              <w:bottom w:type="dxa" w:w="60"/>
              <w:right w:type="dxa" w:w="80"/>
            </w:tcMar>
          </w:tcPr>
          <w:p>
            <w:r>
              <w:rPr>
                <w:b w:val="false"/>
                <w:bCs w:val="false"/>
                <w:sz w:val="17"/>
                <w:szCs w:val="17"/>
              </w:rPr>
              <w:t xml:space="preserve">§12.0-12.2, Table 16 (RACI), HR10-12-1.</w:t>
            </w:r>
          </w:p>
        </w:tc>
        <w:tc>
          <w:tcPr>
            <w:tcW w:type="dxa" w:w="2400"/>
            <w:tcMar>
              <w:top w:type="dxa" w:w="60"/>
              <w:left w:type="dxa" w:w="80"/>
              <w:bottom w:type="dxa" w:w="60"/>
              <w:right w:type="dxa" w:w="80"/>
            </w:tcMar>
          </w:tcPr>
          <w:p>
            <w:r>
              <w:rPr>
                <w:b w:val="false"/>
                <w:bCs w:val="false"/>
                <w:sz w:val="17"/>
                <w:szCs w:val="17"/>
              </w:rPr>
              <w:t xml:space="preserve">NCIE-003 Evidence lifecycle step 04; NCIE-005; NCIE-007.</w:t>
            </w:r>
          </w:p>
        </w:tc>
        <w:tc>
          <w:tcPr>
            <w:tcW w:type="dxa" w:w="2400"/>
            <w:tcMar>
              <w:top w:type="dxa" w:w="60"/>
              <w:left w:type="dxa" w:w="80"/>
              <w:bottom w:type="dxa" w:w="60"/>
              <w:right w:type="dxa" w:w="80"/>
            </w:tcMar>
          </w:tcPr>
          <w:p>
            <w:r>
              <w:rPr>
                <w:b w:val="false"/>
                <w:bCs w:val="false"/>
                <w:sz w:val="17"/>
                <w:szCs w:val="17"/>
              </w:rPr>
              <w:t xml:space="preserve">HR10-12-1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Derived Evidence &amp; transformation lineage; HR focus: transformation-to-Evidence classification.</w:t>
            </w:r>
          </w:p>
        </w:tc>
        <w:tc>
          <w:tcPr>
            <w:tcW w:type="dxa" w:w="2600"/>
            <w:tcMar>
              <w:top w:type="dxa" w:w="60"/>
              <w:left w:type="dxa" w:w="80"/>
              <w:bottom w:type="dxa" w:w="60"/>
              <w:right w:type="dxa" w:w="80"/>
            </w:tcMar>
          </w:tcPr>
          <w:p>
            <w:r>
              <w:rPr>
                <w:b w:val="false"/>
                <w:bCs w:val="false"/>
                <w:sz w:val="17"/>
                <w:szCs w:val="17"/>
              </w:rPr>
              <w:t xml:space="preserve">§13.0-13.2, Table 17 (RACI), HR10-13-1.</w:t>
            </w:r>
          </w:p>
        </w:tc>
        <w:tc>
          <w:tcPr>
            <w:tcW w:type="dxa" w:w="2400"/>
            <w:tcMar>
              <w:top w:type="dxa" w:w="60"/>
              <w:left w:type="dxa" w:w="80"/>
              <w:bottom w:type="dxa" w:w="60"/>
              <w:right w:type="dxa" w:w="80"/>
            </w:tcMar>
          </w:tcPr>
          <w:p>
            <w:r>
              <w:rPr>
                <w:b w:val="false"/>
                <w:bCs w:val="false"/>
                <w:sz w:val="17"/>
                <w:szCs w:val="17"/>
              </w:rPr>
              <w:t xml:space="preserve">NCIE-002/003; NCIE-004; NCIE-009.</w:t>
            </w:r>
          </w:p>
        </w:tc>
        <w:tc>
          <w:tcPr>
            <w:tcW w:type="dxa" w:w="2400"/>
            <w:tcMar>
              <w:top w:type="dxa" w:w="60"/>
              <w:left w:type="dxa" w:w="80"/>
              <w:bottom w:type="dxa" w:w="60"/>
              <w:right w:type="dxa" w:w="80"/>
            </w:tcMar>
          </w:tcPr>
          <w:p>
            <w:r>
              <w:rPr>
                <w:b w:val="false"/>
                <w:bCs w:val="false"/>
                <w:sz w:val="17"/>
                <w:szCs w:val="17"/>
              </w:rPr>
              <w:t xml:space="preserve">HR10-13-1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AI/Agent/ARGUS provenance boundary; HR focus: AI-assisted acquisition/transformation controls.</w:t>
            </w:r>
          </w:p>
        </w:tc>
        <w:tc>
          <w:tcPr>
            <w:tcW w:type="dxa" w:w="2600"/>
            <w:tcMar>
              <w:top w:type="dxa" w:w="60"/>
              <w:left w:type="dxa" w:w="80"/>
              <w:bottom w:type="dxa" w:w="60"/>
              <w:right w:type="dxa" w:w="80"/>
            </w:tcMar>
          </w:tcPr>
          <w:p>
            <w:r>
              <w:rPr>
                <w:b w:val="false"/>
                <w:bCs w:val="false"/>
                <w:sz w:val="17"/>
                <w:szCs w:val="17"/>
              </w:rPr>
              <w:t xml:space="preserve">§14.0-14.2, Table 18 (RACI), HR10-14-1.</w:t>
            </w:r>
          </w:p>
        </w:tc>
        <w:tc>
          <w:tcPr>
            <w:tcW w:type="dxa" w:w="2400"/>
            <w:tcMar>
              <w:top w:type="dxa" w:w="60"/>
              <w:left w:type="dxa" w:w="80"/>
              <w:bottom w:type="dxa" w:w="60"/>
              <w:right w:type="dxa" w:w="80"/>
            </w:tcMar>
          </w:tcPr>
          <w:p>
            <w:r>
              <w:rPr>
                <w:b w:val="false"/>
                <w:bCs w:val="false"/>
                <w:sz w:val="17"/>
                <w:szCs w:val="17"/>
              </w:rPr>
              <w:t xml:space="preserve">NCIE-005/006/007; NCIE-003.</w:t>
            </w:r>
          </w:p>
        </w:tc>
        <w:tc>
          <w:tcPr>
            <w:tcW w:type="dxa" w:w="2400"/>
            <w:tcMar>
              <w:top w:type="dxa" w:w="60"/>
              <w:left w:type="dxa" w:w="80"/>
              <w:bottom w:type="dxa" w:w="60"/>
              <w:right w:type="dxa" w:w="80"/>
            </w:tcMar>
          </w:tcPr>
          <w:p>
            <w:r>
              <w:rPr>
                <w:b w:val="false"/>
                <w:bCs w:val="false"/>
                <w:sz w:val="17"/>
                <w:szCs w:val="17"/>
              </w:rPr>
              <w:t xml:space="preserve">HR10-14-1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Human contribution &amp; attribution provenance; HR focus: specialized contribution classes.</w:t>
            </w:r>
          </w:p>
        </w:tc>
        <w:tc>
          <w:tcPr>
            <w:tcW w:type="dxa" w:w="2600"/>
            <w:tcMar>
              <w:top w:type="dxa" w:w="60"/>
              <w:left w:type="dxa" w:w="80"/>
              <w:bottom w:type="dxa" w:w="60"/>
              <w:right w:type="dxa" w:w="80"/>
            </w:tcMar>
          </w:tcPr>
          <w:p>
            <w:r>
              <w:rPr>
                <w:b w:val="false"/>
                <w:bCs w:val="false"/>
                <w:sz w:val="17"/>
                <w:szCs w:val="17"/>
              </w:rPr>
              <w:t xml:space="preserve">§15.0-15.2, Table 19 (RACI), HR10-15-1.</w:t>
            </w:r>
          </w:p>
        </w:tc>
        <w:tc>
          <w:tcPr>
            <w:tcW w:type="dxa" w:w="2400"/>
            <w:tcMar>
              <w:top w:type="dxa" w:w="60"/>
              <w:left w:type="dxa" w:w="80"/>
              <w:bottom w:type="dxa" w:w="60"/>
              <w:right w:type="dxa" w:w="80"/>
            </w:tcMar>
          </w:tcPr>
          <w:p>
            <w:r>
              <w:rPr>
                <w:b w:val="false"/>
                <w:bCs w:val="false"/>
                <w:sz w:val="17"/>
                <w:szCs w:val="17"/>
              </w:rPr>
              <w:t xml:space="preserve">NCIE-003/005; NCIE-008.</w:t>
            </w:r>
          </w:p>
        </w:tc>
        <w:tc>
          <w:tcPr>
            <w:tcW w:type="dxa" w:w="2400"/>
            <w:tcMar>
              <w:top w:type="dxa" w:w="60"/>
              <w:left w:type="dxa" w:w="80"/>
              <w:bottom w:type="dxa" w:w="60"/>
              <w:right w:type="dxa" w:w="80"/>
            </w:tcMar>
          </w:tcPr>
          <w:p>
            <w:r>
              <w:rPr>
                <w:b w:val="false"/>
                <w:bCs w:val="false"/>
                <w:sz w:val="17"/>
                <w:szCs w:val="17"/>
              </w:rPr>
              <w:t xml:space="preserve">HR10-15-1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Temporal semantics &amp; Decision-Time Evidence state; HR focus: retention horizon/reconstruction authority.</w:t>
            </w:r>
          </w:p>
        </w:tc>
        <w:tc>
          <w:tcPr>
            <w:tcW w:type="dxa" w:w="2600"/>
            <w:tcMar>
              <w:top w:type="dxa" w:w="60"/>
              <w:left w:type="dxa" w:w="80"/>
              <w:bottom w:type="dxa" w:w="60"/>
              <w:right w:type="dxa" w:w="80"/>
            </w:tcMar>
          </w:tcPr>
          <w:p>
            <w:r>
              <w:rPr>
                <w:b w:val="false"/>
                <w:bCs w:val="false"/>
                <w:sz w:val="17"/>
                <w:szCs w:val="17"/>
              </w:rPr>
              <w:t xml:space="preserve">§16.0-16.3, Table 20 Decision-Time Reconstruction Matrix (directive item 54), Table 21 (RACI), HR10-16-1.</w:t>
            </w:r>
          </w:p>
        </w:tc>
        <w:tc>
          <w:tcPr>
            <w:tcW w:type="dxa" w:w="2400"/>
            <w:tcMar>
              <w:top w:type="dxa" w:w="60"/>
              <w:left w:type="dxa" w:w="80"/>
              <w:bottom w:type="dxa" w:w="60"/>
              <w:right w:type="dxa" w:w="80"/>
            </w:tcMar>
          </w:tcPr>
          <w:p>
            <w:r>
              <w:rPr>
                <w:b w:val="false"/>
                <w:bCs w:val="false"/>
                <w:sz w:val="17"/>
                <w:szCs w:val="17"/>
              </w:rPr>
              <w:t xml:space="preserve">NCIE-003 temporal semantics; NCIE-006; NCIE-007.</w:t>
            </w:r>
          </w:p>
        </w:tc>
        <w:tc>
          <w:tcPr>
            <w:tcW w:type="dxa" w:w="2400"/>
            <w:tcMar>
              <w:top w:type="dxa" w:w="60"/>
              <w:left w:type="dxa" w:w="80"/>
              <w:bottom w:type="dxa" w:w="60"/>
              <w:right w:type="dxa" w:w="80"/>
            </w:tcMar>
          </w:tcPr>
          <w:p>
            <w:r>
              <w:rPr>
                <w:b w:val="false"/>
                <w:bCs w:val="false"/>
                <w:sz w:val="17"/>
                <w:szCs w:val="17"/>
              </w:rPr>
              <w:t xml:space="preserve">HR10-16-1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Evidence-to-Hypothesis/Finding/Decision traceability; HR focus: minimum evidentiary package.</w:t>
            </w:r>
          </w:p>
        </w:tc>
        <w:tc>
          <w:tcPr>
            <w:tcW w:type="dxa" w:w="2600"/>
            <w:tcMar>
              <w:top w:type="dxa" w:w="60"/>
              <w:left w:type="dxa" w:w="80"/>
              <w:bottom w:type="dxa" w:w="60"/>
              <w:right w:type="dxa" w:w="80"/>
            </w:tcMar>
          </w:tcPr>
          <w:p>
            <w:r>
              <w:rPr>
                <w:b w:val="false"/>
                <w:bCs w:val="false"/>
                <w:sz w:val="17"/>
                <w:szCs w:val="17"/>
              </w:rPr>
              <w:t xml:space="preserve">§17.0-17.2, Table 22 (RACI), HR10-17-1.</w:t>
            </w:r>
          </w:p>
        </w:tc>
        <w:tc>
          <w:tcPr>
            <w:tcW w:type="dxa" w:w="2400"/>
            <w:tcMar>
              <w:top w:type="dxa" w:w="60"/>
              <w:left w:type="dxa" w:w="80"/>
              <w:bottom w:type="dxa" w:w="60"/>
              <w:right w:type="dxa" w:w="80"/>
            </w:tcMar>
          </w:tcPr>
          <w:p>
            <w:r>
              <w:rPr>
                <w:b w:val="false"/>
                <w:bCs w:val="false"/>
                <w:sz w:val="17"/>
                <w:szCs w:val="17"/>
              </w:rPr>
              <w:t xml:space="preserve">NCIE-001; NCIE-003 Ch.16/17; NCIE-005.</w:t>
            </w:r>
          </w:p>
        </w:tc>
        <w:tc>
          <w:tcPr>
            <w:tcW w:type="dxa" w:w="2400"/>
            <w:tcMar>
              <w:top w:type="dxa" w:w="60"/>
              <w:left w:type="dxa" w:w="80"/>
              <w:bottom w:type="dxa" w:w="60"/>
              <w:right w:type="dxa" w:w="80"/>
            </w:tcMar>
          </w:tcPr>
          <w:p>
            <w:r>
              <w:rPr>
                <w:b w:val="false"/>
                <w:bCs w:val="false"/>
                <w:sz w:val="17"/>
                <w:szCs w:val="17"/>
              </w:rPr>
              <w:t xml:space="preserve">HR10-17-1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Provenance graph &amp; lineage architecture; HR focus: relationship vocabulary extensions.</w:t>
            </w:r>
          </w:p>
        </w:tc>
        <w:tc>
          <w:tcPr>
            <w:tcW w:type="dxa" w:w="2600"/>
            <w:tcMar>
              <w:top w:type="dxa" w:w="60"/>
              <w:left w:type="dxa" w:w="80"/>
              <w:bottom w:type="dxa" w:w="60"/>
              <w:right w:type="dxa" w:w="80"/>
            </w:tcMar>
          </w:tcPr>
          <w:p>
            <w:r>
              <w:rPr>
                <w:b w:val="false"/>
                <w:bCs w:val="false"/>
                <w:sz w:val="17"/>
                <w:szCs w:val="17"/>
              </w:rPr>
              <w:t xml:space="preserve">§18.0-18.2, Table 23 (RACI), HR10-18-1.</w:t>
            </w:r>
          </w:p>
        </w:tc>
        <w:tc>
          <w:tcPr>
            <w:tcW w:type="dxa" w:w="2400"/>
            <w:tcMar>
              <w:top w:type="dxa" w:w="60"/>
              <w:left w:type="dxa" w:w="80"/>
              <w:bottom w:type="dxa" w:w="60"/>
              <w:right w:type="dxa" w:w="80"/>
            </w:tcMar>
          </w:tcPr>
          <w:p>
            <w:r>
              <w:rPr>
                <w:b w:val="false"/>
                <w:bCs w:val="false"/>
                <w:sz w:val="17"/>
                <w:szCs w:val="17"/>
              </w:rPr>
              <w:t xml:space="preserve">NCIE-003 Ch.17/19/25; NCIE-002.</w:t>
            </w:r>
          </w:p>
        </w:tc>
        <w:tc>
          <w:tcPr>
            <w:tcW w:type="dxa" w:w="2400"/>
            <w:tcMar>
              <w:top w:type="dxa" w:w="60"/>
              <w:left w:type="dxa" w:w="80"/>
              <w:bottom w:type="dxa" w:w="60"/>
              <w:right w:type="dxa" w:w="80"/>
            </w:tcMar>
          </w:tcPr>
          <w:p>
            <w:r>
              <w:rPr>
                <w:b w:val="false"/>
                <w:bCs w:val="false"/>
                <w:sz w:val="17"/>
                <w:szCs w:val="17"/>
              </w:rPr>
              <w:t xml:space="preserve">HR10-18-1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Audit event architecture; HR focus: heightened-assurance audit-event classes.</w:t>
            </w:r>
          </w:p>
        </w:tc>
        <w:tc>
          <w:tcPr>
            <w:tcW w:type="dxa" w:w="2600"/>
            <w:tcMar>
              <w:top w:type="dxa" w:w="60"/>
              <w:left w:type="dxa" w:w="80"/>
              <w:bottom w:type="dxa" w:w="60"/>
              <w:right w:type="dxa" w:w="80"/>
            </w:tcMar>
          </w:tcPr>
          <w:p>
            <w:r>
              <w:rPr>
                <w:b w:val="false"/>
                <w:bCs w:val="false"/>
                <w:sz w:val="17"/>
                <w:szCs w:val="17"/>
              </w:rPr>
              <w:t xml:space="preserve">§19.0-19.3, Table 24 Provenance-vs-Audit Matrix (directive item 53), Table 25 (RACI), HR10-19-1.</w:t>
            </w:r>
          </w:p>
        </w:tc>
        <w:tc>
          <w:tcPr>
            <w:tcW w:type="dxa" w:w="2400"/>
            <w:tcMar>
              <w:top w:type="dxa" w:w="60"/>
              <w:left w:type="dxa" w:w="80"/>
              <w:bottom w:type="dxa" w:w="60"/>
              <w:right w:type="dxa" w:w="80"/>
            </w:tcMar>
          </w:tcPr>
          <w:p>
            <w:r>
              <w:rPr>
                <w:b w:val="false"/>
                <w:bCs w:val="false"/>
                <w:sz w:val="17"/>
                <w:szCs w:val="17"/>
              </w:rPr>
              <w:t xml:space="preserve">NCIE-003 Audit Event model; NCIE-006/007/009.</w:t>
            </w:r>
          </w:p>
        </w:tc>
        <w:tc>
          <w:tcPr>
            <w:tcW w:type="dxa" w:w="2400"/>
            <w:tcMar>
              <w:top w:type="dxa" w:w="60"/>
              <w:left w:type="dxa" w:w="80"/>
              <w:bottom w:type="dxa" w:w="60"/>
              <w:right w:type="dxa" w:w="80"/>
            </w:tcMar>
          </w:tcPr>
          <w:p>
            <w:r>
              <w:rPr>
                <w:b w:val="false"/>
                <w:bCs w:val="false"/>
                <w:sz w:val="17"/>
                <w:szCs w:val="17"/>
              </w:rPr>
              <w:t xml:space="preserve">HR10-19-1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Authorization &amp; access audit; HR focus: heightened-audit access classes/reviewers.</w:t>
            </w:r>
          </w:p>
        </w:tc>
        <w:tc>
          <w:tcPr>
            <w:tcW w:type="dxa" w:w="2600"/>
            <w:tcMar>
              <w:top w:type="dxa" w:w="60"/>
              <w:left w:type="dxa" w:w="80"/>
              <w:bottom w:type="dxa" w:w="60"/>
              <w:right w:type="dxa" w:w="80"/>
            </w:tcMar>
          </w:tcPr>
          <w:p>
            <w:r>
              <w:rPr>
                <w:b w:val="false"/>
                <w:bCs w:val="false"/>
                <w:sz w:val="17"/>
                <w:szCs w:val="17"/>
              </w:rPr>
              <w:t xml:space="preserve">§20.0-20.2, Table 26 (RACI), HR10-20-1.</w:t>
            </w:r>
          </w:p>
        </w:tc>
        <w:tc>
          <w:tcPr>
            <w:tcW w:type="dxa" w:w="2400"/>
            <w:tcMar>
              <w:top w:type="dxa" w:w="60"/>
              <w:left w:type="dxa" w:w="80"/>
              <w:bottom w:type="dxa" w:w="60"/>
              <w:right w:type="dxa" w:w="80"/>
            </w:tcMar>
          </w:tcPr>
          <w:p>
            <w:r>
              <w:rPr>
                <w:b w:val="false"/>
                <w:bCs w:val="false"/>
                <w:sz w:val="17"/>
                <w:szCs w:val="17"/>
              </w:rPr>
              <w:t xml:space="preserve">NCIE-001; NCIE-009; NCIE-008.</w:t>
            </w:r>
          </w:p>
        </w:tc>
        <w:tc>
          <w:tcPr>
            <w:tcW w:type="dxa" w:w="2400"/>
            <w:tcMar>
              <w:top w:type="dxa" w:w="60"/>
              <w:left w:type="dxa" w:w="80"/>
              <w:bottom w:type="dxa" w:w="60"/>
              <w:right w:type="dxa" w:w="80"/>
            </w:tcMar>
          </w:tcPr>
          <w:p>
            <w:r>
              <w:rPr>
                <w:b w:val="false"/>
                <w:bCs w:val="false"/>
                <w:sz w:val="17"/>
                <w:szCs w:val="17"/>
              </w:rPr>
              <w:t xml:space="preserve">HR10-20-1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Governance decision &amp; approval audit; HR focus: sensitive-deliberation audit handling.</w:t>
            </w:r>
          </w:p>
        </w:tc>
        <w:tc>
          <w:tcPr>
            <w:tcW w:type="dxa" w:w="2600"/>
            <w:tcMar>
              <w:top w:type="dxa" w:w="60"/>
              <w:left w:type="dxa" w:w="80"/>
              <w:bottom w:type="dxa" w:w="60"/>
              <w:right w:type="dxa" w:w="80"/>
            </w:tcMar>
          </w:tcPr>
          <w:p>
            <w:r>
              <w:rPr>
                <w:b w:val="false"/>
                <w:bCs w:val="false"/>
                <w:sz w:val="17"/>
                <w:szCs w:val="17"/>
              </w:rPr>
              <w:t xml:space="preserve">§21.0-21.2, Table 27 (RACI), HR10-21-1.</w:t>
            </w:r>
          </w:p>
        </w:tc>
        <w:tc>
          <w:tcPr>
            <w:tcW w:type="dxa" w:w="2400"/>
            <w:tcMar>
              <w:top w:type="dxa" w:w="60"/>
              <w:left w:type="dxa" w:w="80"/>
              <w:bottom w:type="dxa" w:w="60"/>
              <w:right w:type="dxa" w:w="80"/>
            </w:tcMar>
          </w:tcPr>
          <w:p>
            <w:r>
              <w:rPr>
                <w:b w:val="false"/>
                <w:bCs w:val="false"/>
                <w:sz w:val="17"/>
                <w:szCs w:val="17"/>
              </w:rPr>
              <w:t xml:space="preserve">NCIE-008; NCIE-009.</w:t>
            </w:r>
          </w:p>
        </w:tc>
        <w:tc>
          <w:tcPr>
            <w:tcW w:type="dxa" w:w="2400"/>
            <w:tcMar>
              <w:top w:type="dxa" w:w="60"/>
              <w:left w:type="dxa" w:w="80"/>
              <w:bottom w:type="dxa" w:w="60"/>
              <w:right w:type="dxa" w:w="80"/>
            </w:tcMar>
          </w:tcPr>
          <w:p>
            <w:r>
              <w:rPr>
                <w:b w:val="false"/>
                <w:bCs w:val="false"/>
                <w:sz w:val="17"/>
                <w:szCs w:val="17"/>
              </w:rPr>
              <w:t xml:space="preserve">HR10-21-1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Tool, workflow &amp; external-system provenance; HR focus: dual-confirmation/receipt requirements.</w:t>
            </w:r>
          </w:p>
        </w:tc>
        <w:tc>
          <w:tcPr>
            <w:tcW w:type="dxa" w:w="2600"/>
            <w:tcMar>
              <w:top w:type="dxa" w:w="60"/>
              <w:left w:type="dxa" w:w="80"/>
              <w:bottom w:type="dxa" w:w="60"/>
              <w:right w:type="dxa" w:w="80"/>
            </w:tcMar>
          </w:tcPr>
          <w:p>
            <w:r>
              <w:rPr>
                <w:b w:val="false"/>
                <w:bCs w:val="false"/>
                <w:sz w:val="17"/>
                <w:szCs w:val="17"/>
              </w:rPr>
              <w:t xml:space="preserve">§22.0-22.2, Table 28 (RACI), HR10-22-1.</w:t>
            </w:r>
          </w:p>
        </w:tc>
        <w:tc>
          <w:tcPr>
            <w:tcW w:type="dxa" w:w="2400"/>
            <w:tcMar>
              <w:top w:type="dxa" w:w="60"/>
              <w:left w:type="dxa" w:w="80"/>
              <w:bottom w:type="dxa" w:w="60"/>
              <w:right w:type="dxa" w:w="80"/>
            </w:tcMar>
          </w:tcPr>
          <w:p>
            <w:r>
              <w:rPr>
                <w:b w:val="false"/>
                <w:bCs w:val="false"/>
                <w:sz w:val="17"/>
                <w:szCs w:val="17"/>
              </w:rPr>
              <w:t xml:space="preserve">NCIE-004 Tool Gateway; NCIE-007; NCIE-009.</w:t>
            </w:r>
          </w:p>
        </w:tc>
        <w:tc>
          <w:tcPr>
            <w:tcW w:type="dxa" w:w="2400"/>
            <w:tcMar>
              <w:top w:type="dxa" w:w="60"/>
              <w:left w:type="dxa" w:w="80"/>
              <w:bottom w:type="dxa" w:w="60"/>
              <w:right w:type="dxa" w:w="80"/>
            </w:tcMar>
          </w:tcPr>
          <w:p>
            <w:r>
              <w:rPr>
                <w:b w:val="false"/>
                <w:bCs w:val="false"/>
                <w:sz w:val="17"/>
                <w:szCs w:val="17"/>
              </w:rPr>
              <w:t xml:space="preserve">HR10-22-1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Security, privacy &amp; classification of Evidence/audit records; HR focus: special-handling classes.</w:t>
            </w:r>
          </w:p>
        </w:tc>
        <w:tc>
          <w:tcPr>
            <w:tcW w:type="dxa" w:w="2600"/>
            <w:tcMar>
              <w:top w:type="dxa" w:w="60"/>
              <w:left w:type="dxa" w:w="80"/>
              <w:bottom w:type="dxa" w:w="60"/>
              <w:right w:type="dxa" w:w="80"/>
            </w:tcMar>
          </w:tcPr>
          <w:p>
            <w:r>
              <w:rPr>
                <w:b w:val="false"/>
                <w:bCs w:val="false"/>
                <w:sz w:val="17"/>
                <w:szCs w:val="17"/>
              </w:rPr>
              <w:t xml:space="preserve">§23.0-23.2, Table 29 (RACI), HR10-23-1.</w:t>
            </w:r>
          </w:p>
        </w:tc>
        <w:tc>
          <w:tcPr>
            <w:tcW w:type="dxa" w:w="2400"/>
            <w:tcMar>
              <w:top w:type="dxa" w:w="60"/>
              <w:left w:type="dxa" w:w="80"/>
              <w:bottom w:type="dxa" w:w="60"/>
              <w:right w:type="dxa" w:w="80"/>
            </w:tcMar>
          </w:tcPr>
          <w:p>
            <w:r>
              <w:rPr>
                <w:b w:val="false"/>
                <w:bCs w:val="false"/>
                <w:sz w:val="17"/>
                <w:szCs w:val="17"/>
              </w:rPr>
              <w:t xml:space="preserve">NCIE-003; NCIE-006; NCIE-009; NCIE-008.</w:t>
            </w:r>
          </w:p>
        </w:tc>
        <w:tc>
          <w:tcPr>
            <w:tcW w:type="dxa" w:w="2400"/>
            <w:tcMar>
              <w:top w:type="dxa" w:w="60"/>
              <w:left w:type="dxa" w:w="80"/>
              <w:bottom w:type="dxa" w:w="60"/>
              <w:right w:type="dxa" w:w="80"/>
            </w:tcMar>
          </w:tcPr>
          <w:p>
            <w:r>
              <w:rPr>
                <w:b w:val="false"/>
                <w:bCs w:val="false"/>
                <w:sz w:val="17"/>
                <w:szCs w:val="17"/>
              </w:rPr>
              <w:t xml:space="preserve">HR10-23-1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Retention, legal hold, archival &amp; disposition interface; HR focus: retention authorities/periods.</w:t>
            </w:r>
          </w:p>
        </w:tc>
        <w:tc>
          <w:tcPr>
            <w:tcW w:type="dxa" w:w="2600"/>
            <w:tcMar>
              <w:top w:type="dxa" w:w="60"/>
              <w:left w:type="dxa" w:w="80"/>
              <w:bottom w:type="dxa" w:w="60"/>
              <w:right w:type="dxa" w:w="80"/>
            </w:tcMar>
          </w:tcPr>
          <w:p>
            <w:r>
              <w:rPr>
                <w:b w:val="false"/>
                <w:bCs w:val="false"/>
                <w:sz w:val="17"/>
                <w:szCs w:val="17"/>
              </w:rPr>
              <w:t xml:space="preserve">§24.0-24.2, Table 30 (RACI), HR10-24-1.</w:t>
            </w:r>
          </w:p>
        </w:tc>
        <w:tc>
          <w:tcPr>
            <w:tcW w:type="dxa" w:w="2400"/>
            <w:tcMar>
              <w:top w:type="dxa" w:w="60"/>
              <w:left w:type="dxa" w:w="80"/>
              <w:bottom w:type="dxa" w:w="60"/>
              <w:right w:type="dxa" w:w="80"/>
            </w:tcMar>
          </w:tcPr>
          <w:p>
            <w:r>
              <w:rPr>
                <w:b w:val="false"/>
                <w:bCs w:val="false"/>
                <w:sz w:val="17"/>
                <w:szCs w:val="17"/>
              </w:rPr>
              <w:t xml:space="preserve">NCIE-006; NCIE-008; NCIE-014 (downstream).</w:t>
            </w:r>
          </w:p>
        </w:tc>
        <w:tc>
          <w:tcPr>
            <w:tcW w:type="dxa" w:w="2400"/>
            <w:tcMar>
              <w:top w:type="dxa" w:w="60"/>
              <w:left w:type="dxa" w:w="80"/>
              <w:bottom w:type="dxa" w:w="60"/>
              <w:right w:type="dxa" w:w="80"/>
            </w:tcMar>
          </w:tcPr>
          <w:p>
            <w:r>
              <w:rPr>
                <w:b w:val="false"/>
                <w:bCs w:val="false"/>
                <w:sz w:val="17"/>
                <w:szCs w:val="17"/>
              </w:rPr>
              <w:t xml:space="preserve">HR10-24-1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Evidence search, discovery &amp; retrieval provenance; HR focus: discoverability rules.</w:t>
            </w:r>
          </w:p>
        </w:tc>
        <w:tc>
          <w:tcPr>
            <w:tcW w:type="dxa" w:w="2600"/>
            <w:tcMar>
              <w:top w:type="dxa" w:w="60"/>
              <w:left w:type="dxa" w:w="80"/>
              <w:bottom w:type="dxa" w:w="60"/>
              <w:right w:type="dxa" w:w="80"/>
            </w:tcMar>
          </w:tcPr>
          <w:p>
            <w:r>
              <w:rPr>
                <w:b w:val="false"/>
                <w:bCs w:val="false"/>
                <w:sz w:val="17"/>
                <w:szCs w:val="17"/>
              </w:rPr>
              <w:t xml:space="preserve">§25.0-25.2, Table 31 (RACI), HR10-25-1.</w:t>
            </w:r>
          </w:p>
        </w:tc>
        <w:tc>
          <w:tcPr>
            <w:tcW w:type="dxa" w:w="2400"/>
            <w:tcMar>
              <w:top w:type="dxa" w:w="60"/>
              <w:left w:type="dxa" w:w="80"/>
              <w:bottom w:type="dxa" w:w="60"/>
              <w:right w:type="dxa" w:w="80"/>
            </w:tcMar>
          </w:tcPr>
          <w:p>
            <w:r>
              <w:rPr>
                <w:b w:val="false"/>
                <w:bCs w:val="false"/>
                <w:sz w:val="17"/>
                <w:szCs w:val="17"/>
              </w:rPr>
              <w:t xml:space="preserve">NCIE-006; NCIE-009; NCIE-003.</w:t>
            </w:r>
          </w:p>
        </w:tc>
        <w:tc>
          <w:tcPr>
            <w:tcW w:type="dxa" w:w="2400"/>
            <w:tcMar>
              <w:top w:type="dxa" w:w="60"/>
              <w:left w:type="dxa" w:w="80"/>
              <w:bottom w:type="dxa" w:w="60"/>
              <w:right w:type="dxa" w:w="80"/>
            </w:tcMar>
          </w:tcPr>
          <w:p>
            <w:r>
              <w:rPr>
                <w:b w:val="false"/>
                <w:bCs w:val="false"/>
                <w:sz w:val="17"/>
                <w:szCs w:val="17"/>
              </w:rPr>
              <w:t xml:space="preserve">HR10-25-1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Audit &amp; provenance reconciliation/recovery; HR focus: reconstruction-complete authority.</w:t>
            </w:r>
          </w:p>
        </w:tc>
        <w:tc>
          <w:tcPr>
            <w:tcW w:type="dxa" w:w="2600"/>
            <w:tcMar>
              <w:top w:type="dxa" w:w="60"/>
              <w:left w:type="dxa" w:w="80"/>
              <w:bottom w:type="dxa" w:w="60"/>
              <w:right w:type="dxa" w:w="80"/>
            </w:tcMar>
          </w:tcPr>
          <w:p>
            <w:r>
              <w:rPr>
                <w:b w:val="false"/>
                <w:bCs w:val="false"/>
                <w:sz w:val="17"/>
                <w:szCs w:val="17"/>
              </w:rPr>
              <w:t xml:space="preserve">§26.0-26.2, Table 32 (RACI), HR10-26-1.</w:t>
            </w:r>
          </w:p>
        </w:tc>
        <w:tc>
          <w:tcPr>
            <w:tcW w:type="dxa" w:w="2400"/>
            <w:tcMar>
              <w:top w:type="dxa" w:w="60"/>
              <w:left w:type="dxa" w:w="80"/>
              <w:bottom w:type="dxa" w:w="60"/>
              <w:right w:type="dxa" w:w="80"/>
            </w:tcMar>
          </w:tcPr>
          <w:p>
            <w:r>
              <w:rPr>
                <w:b w:val="false"/>
                <w:bCs w:val="false"/>
                <w:sz w:val="17"/>
                <w:szCs w:val="17"/>
              </w:rPr>
              <w:t xml:space="preserve">NCIE-004/006/009; NCIE-007.</w:t>
            </w:r>
          </w:p>
        </w:tc>
        <w:tc>
          <w:tcPr>
            <w:tcW w:type="dxa" w:w="2400"/>
            <w:tcMar>
              <w:top w:type="dxa" w:w="60"/>
              <w:left w:type="dxa" w:w="80"/>
              <w:bottom w:type="dxa" w:w="60"/>
              <w:right w:type="dxa" w:w="80"/>
            </w:tcMar>
          </w:tcPr>
          <w:p>
            <w:r>
              <w:rPr>
                <w:b w:val="false"/>
                <w:bCs w:val="false"/>
                <w:sz w:val="17"/>
                <w:szCs w:val="17"/>
              </w:rPr>
              <w:t xml:space="preserve">HR10-26-1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Verification, assurance &amp; defensibility testing; HR focus: test acceptance authority/independence.</w:t>
            </w:r>
          </w:p>
        </w:tc>
        <w:tc>
          <w:tcPr>
            <w:tcW w:type="dxa" w:w="2600"/>
            <w:tcMar>
              <w:top w:type="dxa" w:w="60"/>
              <w:left w:type="dxa" w:w="80"/>
              <w:bottom w:type="dxa" w:w="60"/>
              <w:right w:type="dxa" w:w="80"/>
            </w:tcMar>
          </w:tcPr>
          <w:p>
            <w:r>
              <w:rPr>
                <w:b w:val="false"/>
                <w:bCs w:val="false"/>
                <w:sz w:val="17"/>
                <w:szCs w:val="17"/>
              </w:rPr>
              <w:t xml:space="preserve">§27.0-27.3, Table 33 (8 test classes, directive item 45-analog), Evidence Defensibility Package (directive item 55), Table 34 (RACI), HR10-27-1.</w:t>
            </w:r>
          </w:p>
        </w:tc>
        <w:tc>
          <w:tcPr>
            <w:tcW w:type="dxa" w:w="2400"/>
            <w:tcMar>
              <w:top w:type="dxa" w:w="60"/>
              <w:left w:type="dxa" w:w="80"/>
              <w:bottom w:type="dxa" w:w="60"/>
              <w:right w:type="dxa" w:w="80"/>
            </w:tcMar>
          </w:tcPr>
          <w:p>
            <w:r>
              <w:rPr>
                <w:b w:val="false"/>
                <w:bCs w:val="false"/>
                <w:sz w:val="17"/>
                <w:szCs w:val="17"/>
              </w:rPr>
              <w:t xml:space="preserve">NCIE-003 acceptance criteria; NCIE-008; NCIE-009; NCIE-016 (downstream).</w:t>
            </w:r>
          </w:p>
        </w:tc>
        <w:tc>
          <w:tcPr>
            <w:tcW w:type="dxa" w:w="2400"/>
            <w:tcMar>
              <w:top w:type="dxa" w:w="60"/>
              <w:left w:type="dxa" w:w="80"/>
              <w:bottom w:type="dxa" w:w="60"/>
              <w:right w:type="dxa" w:w="80"/>
            </w:tcMar>
          </w:tcPr>
          <w:p>
            <w:r>
              <w:rPr>
                <w:b w:val="false"/>
                <w:bCs w:val="false"/>
                <w:sz w:val="17"/>
                <w:szCs w:val="17"/>
              </w:rPr>
              <w:t xml:space="preserve">HR10-27-1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Human Review Register &amp; open Evidence/audit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§28.0-28.6, Table 35 (summary), Table 36 (complete register, 29 items), HR10-28-1.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56); approved Skeletal v0.1 Chapter 28 Salient Things to Note.</w:t>
            </w:r>
          </w:p>
        </w:tc>
        <w:tc>
          <w:tcPr>
            <w:tcW w:type="dxa" w:w="2400"/>
            <w:tcMar>
              <w:top w:type="dxa" w:w="60"/>
              <w:left w:type="dxa" w:w="80"/>
              <w:bottom w:type="dxa" w:w="60"/>
              <w:right w:type="dxa" w:w="80"/>
            </w:tcMar>
          </w:tcPr>
          <w:p>
            <w:r>
              <w:rPr>
                <w:b w:val="false"/>
                <w:bCs w:val="false"/>
                <w:sz w:val="17"/>
                <w:szCs w:val="17"/>
              </w:rPr>
              <w:t xml:space="preserve">HR10-28-1 (this chapter's own item) included in Table 36 and totals from the start — both the NCIE-008 register-reconciliation defect and the NCIE-009 salient-note omission were designed around, not repeated. All 29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§29.0-29.6, Table 37 (traceability matrix, 29 rows), Table 38 (downstream handover, 4 rows), HR10-29-1.</w:t>
            </w:r>
          </w:p>
        </w:tc>
        <w:tc>
          <w:tcPr>
            <w:tcW w:type="dxa" w:w="2400"/>
            <w:tcMar>
              <w:top w:type="dxa" w:w="60"/>
              <w:left w:type="dxa" w:w="80"/>
              <w:bottom w:type="dxa" w:w="60"/>
              <w:right w:type="dxa" w:w="80"/>
            </w:tcMar>
          </w:tcPr>
          <w:p>
            <w:r>
              <w:rPr>
                <w:b w:val="false"/>
                <w:bCs w:val="false"/>
                <w:sz w:val="17"/>
                <w:szCs w:val="17"/>
              </w:rPr>
              <w:t xml:space="preserve">Approved NCIE-001-009; approved NCIE-010 Skeletal v0.1.</w:t>
            </w:r>
          </w:p>
        </w:tc>
        <w:tc>
          <w:tcPr>
            <w:tcW w:type="dxa" w:w="2400"/>
            <w:tcMar>
              <w:top w:type="dxa" w:w="60"/>
              <w:left w:type="dxa" w:w="80"/>
              <w:bottom w:type="dxa" w:w="60"/>
              <w:right w:type="dxa" w:w="80"/>
            </w:tcMar>
          </w:tcPr>
          <w:p>
            <w:r>
              <w:rPr>
                <w:b w:val="false"/>
                <w:bCs w:val="false"/>
                <w:sz w:val="17"/>
                <w:szCs w:val="17"/>
              </w:rPr>
              <w:t xml:space="preserve">HR10-29-1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50-55)</w:t>
      </w:r>
    </w:p>
    <w:p>
      <w:pPr>
        <w:spacing w:after="200"/>
      </w:pPr>
      <w:r>
        <w:rPr>
          <w:sz w:val="19"/>
          <w:szCs w:val="19"/>
        </w:rPr>
        <w:t xml:space="preserve">Table 5 (Chapter 4) — Evidence Lifecycle Matrix. Table 9 (Chapter 7) — Chain-of-Custody Matrix. Table 13 (Chapter 10) — Evidence Relationship Matrix. Table 20 (Chapter 16) — Decision-Time Reconstruction Matrix. Table 24 (Chapter 19) — Provenance-versus-Audit-versus-Telemetry Matrix. §27.3 (Chapter 27) — Evidence Defensibility Package, listing the seven logical elements needed to defend a material Finding/Decision without inventing institutional admissibility rules.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29 Human Review items total: 27 items from Chapters 1-27 (one per chapter, mechanically extracted from each chapter's own Human Review Focus bullet text), plus HR10-28-1 (Chapter 28's own item) and HR10-29-1 (Chapter 29's own item) — both defined once and included in the register from the start, per the lessons learned from both the NCIE-008 v1.0 correction (register-reconciliation omission) and the NCIE-009 v1.0 correction (Salient Things to Note omission), rather than appended or discovered afterward. Classification breakdown: 25 Institutional Confirmation Required, 2 Security/Sovereignty Confirmation Required, 1 Legal/Policy Confirmation Required, 1 Resolved by Upstream Baseline. 22 Blocking / 7 Non-Blocking. One item, HR10-1-1, is cross-referenced (not duplicated) against the identical institutional question already open as NCIE-008 HR8-10-1, per directive item 57's upstream-deduplication rule. No item manufactures closure of a decision the approved skeleton, the approved NCIE-008/009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NCIE-010 Skeletal v0.1 is substantively represented in the corresponding v1.0 chapter above, including an explicit Salient Things to Note subsection in all 29 chapters — independently re-verified against the final assembled document by a programmatic scan (directive item 70), not assumed from the build script; none is omitted and none is conceptually inverted (Chapter 29 §29.3).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2026-09-14T07:59:35.463Z</dcterms:created>
  <dcterms:modified xsi:type="dcterms:W3CDTF">2026-09-14T07:59:35.469Z</dcterms:modified>
</cp:coreProperties>
</file>

<file path=docProps/custom.xml><?xml version="1.0" encoding="utf-8"?>
<Properties xmlns="http://schemas.openxmlformats.org/officeDocument/2006/custom-properties" xmlns:vt="http://schemas.openxmlformats.org/officeDocument/2006/docPropsVTypes"/>
</file>