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NCIE-011</w:t>
        <w:br/>
        <w:t>API, Integration &amp; Data Connector Specification</w:t>
      </w:r>
    </w:p>
    <w:p>
      <w:pPr>
        <w:jc w:val="center"/>
      </w:pPr>
      <w:r>
        <w:rPr>
          <w:b/>
          <w:sz w:val="30"/>
        </w:rPr>
        <w:t>Skeletal Version v0.1 — FOR REVIEW</w:t>
      </w:r>
    </w:p>
    <w:p>
      <w:pPr>
        <w:jc w:val="center"/>
      </w:pPr>
      <w:r>
        <w:t>CHAPTER PURPOSE • SALIENT THINGS TO NOTE • PRINCIPAL COMPONENTS • UPSTREAM DEPENDENCIES / AUTHORITY • HUMAN REVIEW FOCUS</w:t>
      </w:r>
    </w:p>
    <w:p>
      <w:r>
        <w:br w:type="page"/>
      </w:r>
    </w:p>
    <w:p>
      <w:pPr>
        <w:pStyle w:val="Heading1"/>
      </w:pPr>
      <w:r>
        <w:t>Document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FOR REVIEW — NOT APPROVED FOR FULL EXPANSION</w:t>
            </w:r>
          </w:p>
        </w:tc>
      </w:tr>
      <w:tr>
        <w:tc>
          <w:tcPr>
            <w:tcW w:type="dxa" w:w="5040"/>
          </w:tcPr>
          <w:p>
            <w:r>
              <w:t>Edition</w:t>
            </w:r>
          </w:p>
        </w:tc>
        <w:tc>
          <w:tcPr>
            <w:tcW w:type="dxa" w:w="5040"/>
          </w:tcPr>
          <w:p>
            <w:r>
              <w:t>Skeletal v0.1</w:t>
            </w:r>
          </w:p>
        </w:tc>
      </w:tr>
      <w:tr>
        <w:tc>
          <w:tcPr>
            <w:tcW w:type="dxa" w:w="5040"/>
          </w:tcPr>
          <w:p>
            <w:r>
              <w:t>Source-confirmed title</w:t>
            </w:r>
          </w:p>
        </w:tc>
        <w:tc>
          <w:tcPr>
            <w:tcW w:type="dxa" w:w="5040"/>
          </w:tcPr>
          <w:p>
            <w:r>
              <w:t>NCIE-011 — API, Integration &amp; Data Connector Specification</w:t>
            </w:r>
          </w:p>
        </w:tc>
      </w:tr>
      <w:tr>
        <w:tc>
          <w:tcPr>
            <w:tcW w:type="dxa" w:w="5040"/>
          </w:tcPr>
          <w:p>
            <w:r>
              <w:t>Source-confirmed suite scope</w:t>
            </w:r>
          </w:p>
        </w:tc>
        <w:tc>
          <w:tcPr>
            <w:tcW w:type="dxa" w:w="5040"/>
          </w:tcPr>
          <w:p>
            <w:r>
              <w:t>Internal/external APIs, events, operator interfaces, connectors and integration contracts.</w:t>
            </w:r>
          </w:p>
        </w:tc>
      </w:tr>
      <w:tr>
        <w:tc>
          <w:tcPr>
            <w:tcW w:type="dxa" w:w="5040"/>
          </w:tcPr>
          <w:p>
            <w:r>
              <w:t>Approved foundation</w:t>
            </w:r>
          </w:p>
        </w:tc>
        <w:tc>
          <w:tcPr>
            <w:tcW w:type="dxa" w:w="5040"/>
          </w:tcPr>
          <w:p>
            <w:r>
              <w:t>NCIE-001 v1.3; NCIE-002 v0.5; NCIE-003 v0.4; NCIE-004 v1.2; NCIE-005 v1.3; NCIE-006 v1.2; NCIE-007 v1.2; NCIE-008 v1.0; NCIE-009 v1.0; NCIE-010 v1.0</w:t>
            </w:r>
          </w:p>
        </w:tc>
      </w:tr>
      <w:tr>
        <w:tc>
          <w:tcPr>
            <w:tcW w:type="dxa" w:w="5040"/>
          </w:tcPr>
          <w:p>
            <w:r>
              <w:t>Primary boundary</w:t>
            </w:r>
          </w:p>
        </w:tc>
        <w:tc>
          <w:tcPr>
            <w:tcW w:type="dxa" w:w="5040"/>
          </w:tcPr>
          <w:p>
            <w:r>
              <w:t>NCIE-011 owns detailed API, event, connector and integration-contract architecture. It must not redefine upstream canonical data, governance, IAM/security, orchestration, Evidence semantics, UX, storage or operations.</w:t>
            </w:r>
          </w:p>
        </w:tc>
      </w:tr>
      <w:tr>
        <w:tc>
          <w:tcPr>
            <w:tcW w:type="dxa" w:w="5040"/>
          </w:tcPr>
          <w:p>
            <w:r>
              <w:t>Framework authority</w:t>
            </w:r>
          </w:p>
        </w:tc>
        <w:tc>
          <w:tcPr>
            <w:tcW w:type="dxa" w:w="5040"/>
          </w:tcPr>
          <w:p>
            <w:r>
              <w:t>NCIE Documentation Suite Master Controlled Register v2.0 plus NCIE-002 Chapter 25 and downstream handovers from NCIE-003/005/009/010.</w:t>
            </w:r>
          </w:p>
        </w:tc>
      </w:tr>
      <w:tr>
        <w:tc>
          <w:tcPr>
            <w:tcW w:type="dxa" w:w="5040"/>
          </w:tcPr>
          <w:p>
            <w:r>
              <w:t>Expansion control</w:t>
            </w:r>
          </w:p>
        </w:tc>
        <w:tc>
          <w:tcPr>
            <w:tcW w:type="dxa" w:w="5040"/>
          </w:tcPr>
          <w:p>
            <w:r>
              <w:t>Full expansion requires explicit Human approval of this skeletal architecture.</w:t>
            </w:r>
          </w:p>
        </w:tc>
      </w:tr>
    </w:tbl>
    <w:p>
      <w:pPr>
        <w:pStyle w:val="Heading1"/>
      </w:pPr>
      <w:r>
        <w:t>Proposed Governing Invariants</w:t>
      </w:r>
    </w:p>
    <w:p>
      <w:pPr>
        <w:pStyle w:val="ListBullet"/>
      </w:pPr>
      <w:r>
        <w:t>API ACCESS ≠ AUTHORIZATION.</w:t>
      </w:r>
    </w:p>
    <w:p>
      <w:pPr>
        <w:pStyle w:val="ListBullet"/>
      </w:pPr>
      <w:r>
        <w:t>AUTHENTICATION SUCCESS ≠ ACTION AUTHORITY.</w:t>
      </w:r>
    </w:p>
    <w:p>
      <w:pPr>
        <w:pStyle w:val="ListBullet"/>
      </w:pPr>
      <w:r>
        <w:t>REQUEST ACCEPTED ≠ ACTION COMPLETED.</w:t>
      </w:r>
    </w:p>
    <w:p>
      <w:pPr>
        <w:pStyle w:val="ListBullet"/>
      </w:pPr>
      <w:r>
        <w:t>HTTP / TRANSPORT SUCCESS ≠ BUSINESS SUCCESS.</w:t>
      </w:r>
    </w:p>
    <w:p>
      <w:pPr>
        <w:pStyle w:val="ListBullet"/>
      </w:pPr>
      <w:r>
        <w:t>EVENT RECEIVED ≠ AUTHORITATIVE CURRENT STATE.</w:t>
      </w:r>
    </w:p>
    <w:p>
      <w:pPr>
        <w:pStyle w:val="ListBullet"/>
      </w:pPr>
      <w:r>
        <w:t>EVENT REPLAY ≠ PERMISSION TO REEXECUTE SIDE EFFECTS.</w:t>
      </w:r>
    </w:p>
    <w:p>
      <w:pPr>
        <w:pStyle w:val="ListBullet"/>
      </w:pPr>
      <w:r>
        <w:t>SCHEMA COMPATIBILITY ≠ SEMANTIC COMPATIBILITY.</w:t>
      </w:r>
    </w:p>
    <w:p>
      <w:pPr>
        <w:pStyle w:val="ListBullet"/>
      </w:pPr>
      <w:r>
        <w:t>SERVICE CONTRACT ≠ CANONICAL DATA OWNERSHIP.</w:t>
      </w:r>
    </w:p>
    <w:p>
      <w:pPr>
        <w:pStyle w:val="ListBullet"/>
      </w:pPr>
      <w:r>
        <w:t>INTEGRATION ADAPTER ≠ SYSTEM OF RECORD.</w:t>
      </w:r>
    </w:p>
    <w:p>
      <w:pPr>
        <w:pStyle w:val="ListBullet"/>
      </w:pPr>
      <w:r>
        <w:t>CONNECTOR CREDENTIAL ≠ UNBOUNDED DATA ACCESS.</w:t>
      </w:r>
    </w:p>
    <w:p>
      <w:pPr>
        <w:pStyle w:val="ListBullet"/>
      </w:pPr>
      <w:r>
        <w:t>TOOL / CONNECTOR ELIGIBILITY ≠ EXECUTION AUTHORITY.</w:t>
      </w:r>
    </w:p>
    <w:p>
      <w:pPr>
        <w:pStyle w:val="ListBullet"/>
      </w:pPr>
      <w:r>
        <w:t>CALLER IDENTITY ≠ HUMAN GOVERNANCE ROLE.</w:t>
      </w:r>
    </w:p>
    <w:p>
      <w:pPr>
        <w:pStyle w:val="ListBullet"/>
      </w:pPr>
      <w:r>
        <w:t>CORRELATION ID ≠ AUTHORIZATION TOKEN.</w:t>
      </w:r>
    </w:p>
    <w:p>
      <w:pPr>
        <w:pStyle w:val="ListBullet"/>
      </w:pPr>
      <w:r>
        <w:t>RETRY ≠ SAFE REEXECUTION.</w:t>
      </w:r>
    </w:p>
    <w:p>
      <w:pPr>
        <w:pStyle w:val="ListBullet"/>
      </w:pPr>
      <w:r>
        <w:t>IDEMPOTENCY KEY ≠ BUSINESS UNIQUENESS.</w:t>
      </w:r>
    </w:p>
    <w:p>
      <w:pPr>
        <w:pStyle w:val="ListBullet"/>
      </w:pPr>
      <w:r>
        <w:t>WEBHOOK DELIVERY ≠ VERIFIED DOWNSTREAM PROCESSING.</w:t>
      </w:r>
    </w:p>
    <w:p>
      <w:pPr>
        <w:pStyle w:val="ListBullet"/>
      </w:pPr>
      <w:r>
        <w:t>CACHE / REPLICA RESPONSE ≠ CURRENT AUTHORITATIVE STATE.</w:t>
      </w:r>
    </w:p>
    <w:p>
      <w:pPr>
        <w:pStyle w:val="ListBullet"/>
      </w:pPr>
      <w:r>
        <w:t>EXTERNAL RESPONSE ≠ INSTITUTIONAL FINDING OR DECISION.</w:t>
      </w:r>
    </w:p>
    <w:p>
      <w:pPr>
        <w:pStyle w:val="ListBullet"/>
      </w:pPr>
      <w:r>
        <w:t>API VERSIONING ≠ DATA-MODEL VERSIONING.</w:t>
      </w:r>
    </w:p>
    <w:p>
      <w:pPr>
        <w:pStyle w:val="ListBullet"/>
      </w:pPr>
      <w:r>
        <w:t>INTEGRATION AVAILABILITY ≠ TRUSTWORTHINESS OF CONTENT.</w:t>
      </w:r>
    </w:p>
    <w:p>
      <w:pPr>
        <w:pStyle w:val="Heading1"/>
      </w:pPr>
      <w:r>
        <w:t>Proposed Skeletal Chapter Structure</w:t>
      </w:r>
    </w:p>
    <w:p>
      <w:pPr>
        <w:pStyle w:val="Heading2"/>
      </w:pPr>
      <w:r>
        <w:t>Chapter 1 — Mandate, Authority Chain &amp; Integration Boundary</w:t>
      </w:r>
    </w:p>
    <w:p>
      <w:r>
        <w:t>Chapter Purpose. Establish NCIE-011 as the detailed API, event, connector and integration-contract specification within the approved NCIE suite.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NCIE-011 operationalizes upstream service/interface obligations; it does not redefine product behavior, canonical data semantics, governance authority, security policy, Evidence meaning, UX or storage.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 chain</w:t>
      </w:r>
    </w:p>
    <w:p>
      <w:pPr>
        <w:pStyle w:val="ListBullet"/>
      </w:pPr>
      <w:r>
        <w:t>ownership boundary</w:t>
      </w:r>
    </w:p>
    <w:p>
      <w:pPr>
        <w:pStyle w:val="ListBullet"/>
      </w:pPr>
      <w:r>
        <w:t>exclusions</w:t>
      </w:r>
    </w:p>
    <w:p>
      <w:pPr>
        <w:pStyle w:val="ListBullet"/>
      </w:pPr>
      <w:r>
        <w:t>upstream/downstream interfaces.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Master Controlled Register v2.0; NCIE-002 Ch.25; NCIE-003/005/009/010 handovers.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NCIE-011 acceptance/sign-off authority and any unresolved overlap with NCIE-013 domain-module APIs.</w:t>
      </w:r>
    </w:p>
    <w:p>
      <w:pPr>
        <w:pStyle w:val="Heading2"/>
      </w:pPr>
      <w:r>
        <w:t>Chapter 2 — API &amp; Integration Doctrine</w:t>
      </w:r>
    </w:p>
    <w:p>
      <w:r>
        <w:t>Chapter Purpose. Lock the principles governing synchronous, asynchronous, internal and external integration.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API transport is not institutional authority; integration success is not business truth; all contracts remain versioned, observable, authorized and semantically bounded.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Contract-first discipline</w:t>
      </w:r>
    </w:p>
    <w:p>
      <w:pPr>
        <w:pStyle w:val="ListBullet"/>
      </w:pPr>
      <w:r>
        <w:t>explicit ownership</w:t>
      </w:r>
    </w:p>
    <w:p>
      <w:pPr>
        <w:pStyle w:val="ListBullet"/>
      </w:pPr>
      <w:r>
        <w:t>bounded coupling</w:t>
      </w:r>
    </w:p>
    <w:p>
      <w:pPr>
        <w:pStyle w:val="ListBullet"/>
      </w:pPr>
      <w:r>
        <w:t>fail-safe behavior</w:t>
      </w:r>
    </w:p>
    <w:p>
      <w:pPr>
        <w:pStyle w:val="ListBullet"/>
      </w:pPr>
      <w:r>
        <w:t>semantic preservation</w:t>
      </w:r>
    </w:p>
    <w:p>
      <w:pPr>
        <w:pStyle w:val="ListBullet"/>
      </w:pPr>
      <w:r>
        <w:t>traceability.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API/event architecture; NCIE-008 governance; NCIE-009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any institution-specific integration governance rules not fixed upstream.</w:t>
      </w:r>
    </w:p>
    <w:p>
      <w:pPr>
        <w:pStyle w:val="Heading2"/>
      </w:pPr>
      <w:r>
        <w:t>Chapter 3 — Service Contract Model &amp; Interface Registry</w:t>
      </w:r>
    </w:p>
    <w:p>
      <w:r>
        <w:t>Chapter Purpose. Define the logical Service Contract and interface-registration model.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Service Contract records do not create canonical data ownership. Owning service, version and schema references must remain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Service Contract identity</w:t>
      </w:r>
    </w:p>
    <w:p>
      <w:pPr>
        <w:pStyle w:val="ListBullet"/>
      </w:pPr>
      <w:r>
        <w:t>owning service</w:t>
      </w:r>
    </w:p>
    <w:p>
      <w:pPr>
        <w:pStyle w:val="ListBullet"/>
      </w:pPr>
      <w:r>
        <w:t>version</w:t>
      </w:r>
    </w:p>
    <w:p>
      <w:pPr>
        <w:pStyle w:val="ListBullet"/>
      </w:pPr>
      <w:r>
        <w:t>request/response schema reference</w:t>
      </w:r>
    </w:p>
    <w:p>
      <w:pPr>
        <w:pStyle w:val="ListBullet"/>
      </w:pPr>
      <w:r>
        <w:t>event schema reference</w:t>
      </w:r>
    </w:p>
    <w:p>
      <w:pPr>
        <w:pStyle w:val="ListBullet"/>
      </w:pPr>
      <w:r>
        <w:t>lifecycle/status</w:t>
      </w:r>
    </w:p>
    <w:p>
      <w:pPr>
        <w:pStyle w:val="ListBullet"/>
      </w:pPr>
      <w:r>
        <w:t>documentation metadata.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Ch.25.5; NCIE-003 canonical data ownership.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authority for publishing/deprecating service contracts.</w:t>
      </w:r>
    </w:p>
    <w:p>
      <w:pPr>
        <w:pStyle w:val="Heading2"/>
      </w:pPr>
      <w:r>
        <w:t>Chapter 4 — API Gateway &amp; Entry-Point Architecture</w:t>
      </w:r>
    </w:p>
    <w:p>
      <w:r>
        <w:t>Chapter Purpose. Define the governed entry-point model for synchronous APIs.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The gateway is an enforcement/mediation boundary, not a source of business authority. Internal/external paths cannot bypass required IAM/security controls.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Gateway responsibilities</w:t>
      </w:r>
    </w:p>
    <w:p>
      <w:pPr>
        <w:pStyle w:val="ListBullet"/>
      </w:pPr>
      <w:r>
        <w:t>routing</w:t>
      </w:r>
    </w:p>
    <w:p>
      <w:pPr>
        <w:pStyle w:val="ListBullet"/>
      </w:pPr>
      <w:r>
        <w:t>authentication handoff</w:t>
      </w:r>
    </w:p>
    <w:p>
      <w:pPr>
        <w:pStyle w:val="ListBullet"/>
      </w:pPr>
      <w:r>
        <w:t>authorization enforcement</w:t>
      </w:r>
    </w:p>
    <w:p>
      <w:pPr>
        <w:pStyle w:val="ListBullet"/>
      </w:pPr>
      <w:r>
        <w:t>rate/abuse controls</w:t>
      </w:r>
    </w:p>
    <w:p>
      <w:pPr>
        <w:pStyle w:val="ListBullet"/>
      </w:pPr>
      <w:r>
        <w:t>correlation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policy integration.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Ch.25; NCIE-009 Ch.5-6.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any permitted internal bypass patterns, if any, and approval authority.</w:t>
      </w:r>
    </w:p>
    <w:p>
      <w:pPr>
        <w:pStyle w:val="Heading2"/>
      </w:pPr>
      <w:r>
        <w:t>Chapter 5 — Internal Service APIs</w:t>
      </w:r>
    </w:p>
    <w:p>
      <w:r>
        <w:t>Chapter Purpose. Define internal synchronous service-to-service API contract principles.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Internal does not mean trusted. Service identity, authorization and contract/version discipline apply to every call.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Service identity</w:t>
      </w:r>
    </w:p>
    <w:p>
      <w:pPr>
        <w:pStyle w:val="ListBullet"/>
      </w:pPr>
      <w:r>
        <w:t>endpoint ownership</w:t>
      </w:r>
    </w:p>
    <w:p>
      <w:pPr>
        <w:pStyle w:val="ListBullet"/>
      </w:pPr>
      <w:r>
        <w:t>request/response patterns</w:t>
      </w:r>
    </w:p>
    <w:p>
      <w:pPr>
        <w:pStyle w:val="ListBullet"/>
      </w:pPr>
      <w:r>
        <w:t>errors</w:t>
      </w:r>
    </w:p>
    <w:p>
      <w:pPr>
        <w:pStyle w:val="ListBullet"/>
      </w:pPr>
      <w:r>
        <w:t>timeouts</w:t>
      </w:r>
    </w:p>
    <w:p>
      <w:pPr>
        <w:pStyle w:val="ListBullet"/>
      </w:pPr>
      <w:r>
        <w:t>idempotency</w:t>
      </w:r>
    </w:p>
    <w:p>
      <w:pPr>
        <w:pStyle w:val="ListBullet"/>
      </w:pPr>
      <w:r>
        <w:t>correlation</w:t>
      </w:r>
    </w:p>
    <w:p>
      <w:pPr>
        <w:pStyle w:val="ListBullet"/>
      </w:pPr>
      <w:r>
        <w:t>versioning.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Ch.25; NCIE-009 service-to-service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internal API classes requiring stricter assurance or isolation.</w:t>
      </w:r>
    </w:p>
    <w:p>
      <w:pPr>
        <w:pStyle w:val="Heading2"/>
      </w:pPr>
      <w:r>
        <w:t>Chapter 6 — External Partner APIs</w:t>
      </w:r>
    </w:p>
    <w:p>
      <w:r>
        <w:t>Chapter Purpose. Define external/partner API contract and onboarding principles.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External partner access uses narrowly scoped machine identities and must not broaden institutional data exposure or bypass classification/purpose controls.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Partner identity</w:t>
      </w:r>
    </w:p>
    <w:p>
      <w:pPr>
        <w:pStyle w:val="ListBullet"/>
      </w:pPr>
      <w:r>
        <w:t>scope</w:t>
      </w:r>
    </w:p>
    <w:p>
      <w:pPr>
        <w:pStyle w:val="ListBullet"/>
      </w:pPr>
      <w:r>
        <w:t>onboarding</w:t>
      </w:r>
    </w:p>
    <w:p>
      <w:pPr>
        <w:pStyle w:val="ListBullet"/>
      </w:pPr>
      <w:r>
        <w:t>contract version</w:t>
      </w:r>
    </w:p>
    <w:p>
      <w:pPr>
        <w:pStyle w:val="ListBullet"/>
      </w:pPr>
      <w:r>
        <w:t>throttling</w:t>
      </w:r>
    </w:p>
    <w:p>
      <w:pPr>
        <w:pStyle w:val="ListBullet"/>
      </w:pPr>
      <w:r>
        <w:t>data minimization</w:t>
      </w:r>
    </w:p>
    <w:p>
      <w:pPr>
        <w:pStyle w:val="ListBullet"/>
      </w:pPr>
      <w:r>
        <w:t>revocation</w:t>
      </w:r>
    </w:p>
    <w:p>
      <w:pPr>
        <w:pStyle w:val="ListBullet"/>
      </w:pPr>
      <w:r>
        <w:t>audit</w:t>
      </w:r>
    </w:p>
    <w:p>
      <w:pPr>
        <w:pStyle w:val="ListBullet"/>
      </w:pPr>
      <w:r>
        <w:t>partner offboarding.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Ch.25.6; NCIE-009 external access/security.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partner categories, onboarding authority and restricted data classes.</w:t>
      </w:r>
    </w:p>
    <w:p>
      <w:pPr>
        <w:pStyle w:val="Heading2"/>
      </w:pPr>
      <w:r>
        <w:t>Chapter 7 — Operator / Regulatory Interface Contracts</w:t>
      </w:r>
    </w:p>
    <w:p>
      <w:r>
        <w:t>Chapter Purpose. Define operator-facing integration contracts for regulated or supervised entities.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Operator interfaces expose only governed data/actions; interface availability or operator identity does not create authority to access every domain object.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Operator identity</w:t>
      </w:r>
    </w:p>
    <w:p>
      <w:pPr>
        <w:pStyle w:val="ListBullet"/>
      </w:pPr>
      <w:r>
        <w:t>contract scope</w:t>
      </w:r>
    </w:p>
    <w:p>
      <w:pPr>
        <w:pStyle w:val="ListBullet"/>
      </w:pPr>
      <w:r>
        <w:t>submission/retrieval APIs</w:t>
      </w:r>
    </w:p>
    <w:p>
      <w:pPr>
        <w:pStyle w:val="ListBullet"/>
      </w:pPr>
      <w:r>
        <w:t>acknowledgements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audit</w:t>
      </w:r>
    </w:p>
    <w:p>
      <w:pPr>
        <w:pStyle w:val="ListBullet"/>
      </w:pPr>
      <w:r>
        <w:t>versioning.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Master Register scope; NCIE-001 operator workflows; NCIE-009 IAM.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operator classes and authority boundaries by domain.</w:t>
      </w:r>
    </w:p>
    <w:p>
      <w:pPr>
        <w:pStyle w:val="Heading2"/>
      </w:pPr>
      <w:r>
        <w:t>Chapter 8 — ARGUS API Boundary</w:t>
      </w:r>
    </w:p>
    <w:p>
      <w:r>
        <w:t>Chapter Purpose. Define service interfaces exposed to or invoked by ARGUS without redefining ARGUS behavior.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ARGUS may request, retrieve and route governed data/actions but API access does not grant new authority or override Human-Primary controls.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Conversation/session API interface</w:t>
      </w:r>
    </w:p>
    <w:p>
      <w:pPr>
        <w:pStyle w:val="ListBullet"/>
      </w:pPr>
      <w:r>
        <w:t>Context retrieval interface</w:t>
      </w:r>
    </w:p>
    <w:p>
      <w:pPr>
        <w:pStyle w:val="ListBullet"/>
      </w:pPr>
      <w:r>
        <w:t>Tool request interface</w:t>
      </w:r>
    </w:p>
    <w:p>
      <w:pPr>
        <w:pStyle w:val="ListBullet"/>
      </w:pPr>
      <w:r>
        <w:t>status/event subscriptions</w:t>
      </w:r>
    </w:p>
    <w:p>
      <w:pPr>
        <w:pStyle w:val="ListBullet"/>
      </w:pPr>
      <w:r>
        <w:t>error/degradation responses.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 behavior boundary; NCIE-006 Memory/Context; NCIE-007 orchestration.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ARGUS-facing operations may be synchronous versus asynchronous.</w:t>
      </w:r>
    </w:p>
    <w:p>
      <w:pPr>
        <w:pStyle w:val="Heading2"/>
      </w:pPr>
      <w:r>
        <w:t>Chapter 9 — Memory &amp; Context Service Interfaces</w:t>
      </w:r>
    </w:p>
    <w:p>
      <w:r>
        <w:t>Chapter Purpose. Define detailed APIs for governed Context assembly, retrieval, injection references and Memory operations.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CONTEXT PROPAGATION ≠ AUTHORIZATION PROPAGATION. API shape must preserve User/Room/Investigation purpose, classification, temporal mode and provenance.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Context request</w:t>
      </w:r>
    </w:p>
    <w:p>
      <w:pPr>
        <w:pStyle w:val="ListBullet"/>
      </w:pPr>
      <w:r>
        <w:t>retrieval filters</w:t>
      </w:r>
    </w:p>
    <w:p>
      <w:pPr>
        <w:pStyle w:val="ListBullet"/>
      </w:pPr>
      <w:r>
        <w:t>temporal mode</w:t>
      </w:r>
    </w:p>
    <w:p>
      <w:pPr>
        <w:pStyle w:val="ListBullet"/>
      </w:pPr>
      <w:r>
        <w:t>provenance references</w:t>
      </w:r>
    </w:p>
    <w:p>
      <w:pPr>
        <w:pStyle w:val="ListBullet"/>
      </w:pPr>
      <w:r>
        <w:t>write/update controls</w:t>
      </w:r>
    </w:p>
    <w:p>
      <w:pPr>
        <w:pStyle w:val="ListBullet"/>
      </w:pPr>
      <w:r>
        <w:t>invalidation</w:t>
      </w:r>
    </w:p>
    <w:p>
      <w:pPr>
        <w:pStyle w:val="ListBullet"/>
      </w:pPr>
      <w:r>
        <w:t>expiry</w:t>
      </w:r>
    </w:p>
    <w:p>
      <w:pPr>
        <w:pStyle w:val="ListBullet"/>
      </w:pPr>
      <w:r>
        <w:t>search/retrieval calls.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v1.2; NCIE-009 access controls.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write authorities and cross-context exception handling.</w:t>
      </w:r>
    </w:p>
    <w:p>
      <w:pPr>
        <w:pStyle w:val="Heading2"/>
      </w:pPr>
      <w:r>
        <w:t>Chapter 10 — Agent Factory &amp; Agent Runtime APIs</w:t>
      </w:r>
    </w:p>
    <w:p>
      <w:r>
        <w:t>Chapter Purpose. Define service contracts for Agent discovery, synthesis, Gate A, runtime execution, run status and result packages.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Agent Factory API calls cannot self-register Agents or expand permissions. Runtime interfaces must preserve task scope, Agent identity, effective principal and Context bounds.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Agent discovery</w:t>
      </w:r>
    </w:p>
    <w:p>
      <w:pPr>
        <w:pStyle w:val="ListBullet"/>
      </w:pPr>
      <w:r>
        <w:t>synthesis request</w:t>
      </w:r>
    </w:p>
    <w:p>
      <w:pPr>
        <w:pStyle w:val="ListBullet"/>
      </w:pPr>
      <w:r>
        <w:t>Agent Definition reference</w:t>
      </w:r>
    </w:p>
    <w:p>
      <w:pPr>
        <w:pStyle w:val="ListBullet"/>
      </w:pPr>
      <w:r>
        <w:t>Gate A request/result</w:t>
      </w:r>
    </w:p>
    <w:p>
      <w:pPr>
        <w:pStyle w:val="ListBullet"/>
      </w:pPr>
      <w:r>
        <w:t>Run create/status/cancel</w:t>
      </w:r>
    </w:p>
    <w:p>
      <w:pPr>
        <w:pStyle w:val="ListBullet"/>
      </w:pPr>
      <w:r>
        <w:t>result package</w:t>
      </w:r>
    </w:p>
    <w:p>
      <w:pPr>
        <w:pStyle w:val="ListBullet"/>
      </w:pPr>
      <w:r>
        <w:t>lifecycle state.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 Ch.11-16; NCIE-003 Agent canonical objects; NCIE-009 Agent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Agent lifecycle operations require explicit Human/Governance approval.</w:t>
      </w:r>
    </w:p>
    <w:p>
      <w:pPr>
        <w:pStyle w:val="Heading2"/>
      </w:pPr>
      <w:r>
        <w:t>Chapter 11 — Model Gateway APIs</w:t>
      </w:r>
    </w:p>
    <w:p>
      <w:r>
        <w:t>Chapter Purpose. Define service contracts for model routing, invocation and provenance.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MODEL ELIGIBILITY ≠ DATA DISCLOSURE AUTHORITY. Caller cannot force non-eligible providers or bypass classification/residency rules.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Model request</w:t>
      </w:r>
    </w:p>
    <w:p>
      <w:pPr>
        <w:pStyle w:val="ListBullet"/>
      </w:pPr>
      <w:r>
        <w:t>routing constraints</w:t>
      </w:r>
    </w:p>
    <w:p>
      <w:pPr>
        <w:pStyle w:val="ListBullet"/>
      </w:pPr>
      <w:r>
        <w:t>response</w:t>
      </w:r>
    </w:p>
    <w:p>
      <w:pPr>
        <w:pStyle w:val="ListBullet"/>
      </w:pPr>
      <w:r>
        <w:t>model/deployment provenance</w:t>
      </w:r>
    </w:p>
    <w:p>
      <w:pPr>
        <w:pStyle w:val="ListBullet"/>
      </w:pPr>
      <w:r>
        <w:t>fallback status</w:t>
      </w:r>
    </w:p>
    <w:p>
      <w:pPr>
        <w:pStyle w:val="ListBullet"/>
      </w:pPr>
      <w:r>
        <w:t>usage metadata</w:t>
      </w:r>
    </w:p>
    <w:p>
      <w:pPr>
        <w:pStyle w:val="ListBullet"/>
      </w:pPr>
      <w:r>
        <w:t>errors.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 Model Gateway; NCIE-009 model/provider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caller-visible versus internal routing metadata.</w:t>
      </w:r>
    </w:p>
    <w:p>
      <w:pPr>
        <w:pStyle w:val="Heading2"/>
      </w:pPr>
      <w:r>
        <w:t>Chapter 12 — Tool Gateway &amp; Connector Execution APIs</w:t>
      </w:r>
    </w:p>
    <w:p>
      <w:r>
        <w:t>Chapter Purpose. Define contracts for Tool invocation, approval binding, execution receipts and outcome reconciliation.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TOOL ELIGIBILITY ≠ EXECUTION AUTHORITY. REQUEST ACCEPTED ≠ ACTION COMPLETED. OUTCOME UNKNOWN must remain explicit until reconciled.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Tool request</w:t>
      </w:r>
    </w:p>
    <w:p>
      <w:pPr>
        <w:pStyle w:val="ListBullet"/>
      </w:pPr>
      <w:r>
        <w:t>actor/effective principal</w:t>
      </w:r>
    </w:p>
    <w:p>
      <w:pPr>
        <w:pStyle w:val="ListBullet"/>
      </w:pPr>
      <w:r>
        <w:t>target</w:t>
      </w:r>
    </w:p>
    <w:p>
      <w:pPr>
        <w:pStyle w:val="ListBullet"/>
      </w:pPr>
      <w:r>
        <w:t>approval reference</w:t>
      </w:r>
    </w:p>
    <w:p>
      <w:pPr>
        <w:pStyle w:val="ListBullet"/>
      </w:pPr>
      <w:r>
        <w:t>idempotency</w:t>
      </w:r>
    </w:p>
    <w:p>
      <w:pPr>
        <w:pStyle w:val="ListBullet"/>
      </w:pPr>
      <w:r>
        <w:t>receipt</w:t>
      </w:r>
    </w:p>
    <w:p>
      <w:pPr>
        <w:pStyle w:val="ListBullet"/>
      </w:pPr>
      <w:r>
        <w:t>outcome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cancellation/compensation where supported.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 Tool Gateway; NCIE-009 Tool/connector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high-risk Tool classes and approval-reference requirements.</w:t>
      </w:r>
    </w:p>
    <w:p>
      <w:pPr>
        <w:pStyle w:val="Heading2"/>
      </w:pPr>
      <w:r>
        <w:t>Chapter 13 — VPF Service Interfaces</w:t>
      </w:r>
    </w:p>
    <w:p>
      <w:r>
        <w:t>Chapter Purpose. Define API contracts for profile lookup, validation request, Validation Artifact retrieval and status/revalidation operations.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VPF PASS ≠ HUMAN APPROVAL and VPF PASS ≠ EVIDENCE. API responses must preserve exact validation disposition and historical artifact identity.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Profile reference</w:t>
      </w:r>
    </w:p>
    <w:p>
      <w:pPr>
        <w:pStyle w:val="ListBullet"/>
      </w:pPr>
      <w:r>
        <w:t>validation request</w:t>
      </w:r>
    </w:p>
    <w:p>
      <w:pPr>
        <w:pStyle w:val="ListBullet"/>
      </w:pPr>
      <w:r>
        <w:t>artifact response</w:t>
      </w:r>
    </w:p>
    <w:p>
      <w:pPr>
        <w:pStyle w:val="ListBullet"/>
      </w:pPr>
      <w:r>
        <w:t>qualification</w:t>
      </w:r>
    </w:p>
    <w:p>
      <w:pPr>
        <w:pStyle w:val="ListBullet"/>
      </w:pPr>
      <w:r>
        <w:t>Human Review Required</w:t>
      </w:r>
    </w:p>
    <w:p>
      <w:pPr>
        <w:pStyle w:val="ListBullet"/>
      </w:pPr>
      <w:r>
        <w:t>unavailable/revalidation/invalidated status</w:t>
      </w:r>
    </w:p>
    <w:p>
      <w:pPr>
        <w:pStyle w:val="ListBullet"/>
      </w:pPr>
      <w:r>
        <w:t>history lookup.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VPF canonical data; NCIE-007 Ch.26; NCIE-008/009 governance/security.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VPF operations are callable by which technical principals.</w:t>
      </w:r>
    </w:p>
    <w:p>
      <w:pPr>
        <w:pStyle w:val="Heading2"/>
      </w:pPr>
      <w:r>
        <w:t>Chapter 14 — Evidence, Custody &amp; Audit APIs</w:t>
      </w:r>
    </w:p>
    <w:p>
      <w:r>
        <w:t>Chapter Purpose. Define detailed interface contracts handed off by NCIE-010.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Evidence Object, custody-event and audit-event interfaces must preserve canonical identity, provenance, authorization, classification and historical integrity; API design cannot redefine Evidence semantics.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Evidence register/retrieve</w:t>
      </w:r>
    </w:p>
    <w:p>
      <w:pPr>
        <w:pStyle w:val="ListBullet"/>
      </w:pPr>
      <w:r>
        <w:t>custody-event append</w:t>
      </w:r>
    </w:p>
    <w:p>
      <w:pPr>
        <w:pStyle w:val="ListBullet"/>
      </w:pPr>
      <w:r>
        <w:t>integrity verification</w:t>
      </w:r>
    </w:p>
    <w:p>
      <w:pPr>
        <w:pStyle w:val="ListBullet"/>
      </w:pPr>
      <w:r>
        <w:t>annotation</w:t>
      </w:r>
    </w:p>
    <w:p>
      <w:pPr>
        <w:pStyle w:val="ListBullet"/>
      </w:pPr>
      <w:r>
        <w:t>version state</w:t>
      </w:r>
    </w:p>
    <w:p>
      <w:pPr>
        <w:pStyle w:val="ListBullet"/>
      </w:pPr>
      <w:r>
        <w:t>audit-event append/query</w:t>
      </w:r>
    </w:p>
    <w:p>
      <w:pPr>
        <w:pStyle w:val="ListBullet"/>
      </w:pPr>
      <w:r>
        <w:t>Decision-Time retrieval.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NCIE-010 Ch.3, 7, 19 and downstream handover.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mutability/append-only expectations and privileged audit access.</w:t>
      </w:r>
    </w:p>
    <w:p>
      <w:pPr>
        <w:pStyle w:val="Heading2"/>
      </w:pPr>
      <w:r>
        <w:t>Chapter 15 — Source Acquisition &amp; Ingestion Connectors</w:t>
      </w:r>
    </w:p>
    <w:p>
      <w:r>
        <w:t>Chapter Purpose. Define connector contracts for governed source acquisition and ingestion.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Connector success does not make source material Evidence or canonical truth. Acquisition provenance and source health must remain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Pull/push connectors</w:t>
      </w:r>
    </w:p>
    <w:p>
      <w:pPr>
        <w:pStyle w:val="ListBullet"/>
      </w:pPr>
      <w:r>
        <w:t>source identity</w:t>
      </w:r>
    </w:p>
    <w:p>
      <w:pPr>
        <w:pStyle w:val="ListBullet"/>
      </w:pPr>
      <w:r>
        <w:t>acquisition request</w:t>
      </w:r>
    </w:p>
    <w:p>
      <w:pPr>
        <w:pStyle w:val="ListBullet"/>
      </w:pPr>
      <w:r>
        <w:t>validation</w:t>
      </w:r>
    </w:p>
    <w:p>
      <w:pPr>
        <w:pStyle w:val="ListBullet"/>
      </w:pPr>
      <w:r>
        <w:t>health</w:t>
      </w:r>
    </w:p>
    <w:p>
      <w:pPr>
        <w:pStyle w:val="ListBullet"/>
      </w:pPr>
      <w:r>
        <w:t>retries</w:t>
      </w:r>
    </w:p>
    <w:p>
      <w:pPr>
        <w:pStyle w:val="ListBullet"/>
      </w:pPr>
      <w:r>
        <w:t>checkpoints</w:t>
      </w:r>
    </w:p>
    <w:p>
      <w:pPr>
        <w:pStyle w:val="ListBullet"/>
      </w:pPr>
      <w:r>
        <w:t>provenance</w:t>
      </w:r>
    </w:p>
    <w:p>
      <w:pPr>
        <w:pStyle w:val="ListBullet"/>
      </w:pPr>
      <w:r>
        <w:t>quarantine.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 acquisition; NCIE-002 source/event architecture; NCIE-010 acquisition provenance.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connector classes requiring manual attestation or source-specific approval.</w:t>
      </w:r>
    </w:p>
    <w:p>
      <w:pPr>
        <w:pStyle w:val="Heading2"/>
      </w:pPr>
      <w:r>
        <w:t>Chapter 16 — Domain Data Connectors</w:t>
      </w:r>
    </w:p>
    <w:p>
      <w:r>
        <w:t>Chapter Purpose. Define reusable patterns for Network, Traffic, Revenue, Mobile Money, SIM, Anti-Fraud, REWS and related domain feeds without preempting NCIE-013 business logic.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Connector specification handles transport/contracts, not domain interpretation or institutional Findings.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Domain feed adapters</w:t>
      </w:r>
    </w:p>
    <w:p>
      <w:pPr>
        <w:pStyle w:val="ListBullet"/>
      </w:pPr>
      <w:r>
        <w:t>schema mapping</w:t>
      </w:r>
    </w:p>
    <w:p>
      <w:pPr>
        <w:pStyle w:val="ListBullet"/>
      </w:pPr>
      <w:r>
        <w:t>validation</w:t>
      </w:r>
    </w:p>
    <w:p>
      <w:pPr>
        <w:pStyle w:val="ListBullet"/>
      </w:pPr>
      <w:r>
        <w:t>checkpointing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source metadata</w:t>
      </w:r>
    </w:p>
    <w:p>
      <w:pPr>
        <w:pStyle w:val="ListBullet"/>
      </w:pPr>
      <w:r>
        <w:t>event emission.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NCIE-013 downstream functional modules; NCIE-003 domain data models.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domain connectors are standard versus bespoke.</w:t>
      </w:r>
    </w:p>
    <w:p>
      <w:pPr>
        <w:pStyle w:val="Heading2"/>
      </w:pPr>
      <w:r>
        <w:t>Chapter 17 — Bulk File &amp; Batch Integration</w:t>
      </w:r>
    </w:p>
    <w:p>
      <w:r>
        <w:t>Chapter Purpose. Define batch/file ingestion and export contracts.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Bulk transfer requires the same authorization, provenance, classification and integrity rules as APIs; file availability is not successful processing.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Manifest</w:t>
      </w:r>
    </w:p>
    <w:p>
      <w:pPr>
        <w:pStyle w:val="ListBullet"/>
      </w:pPr>
      <w:r>
        <w:t>file identity</w:t>
      </w:r>
    </w:p>
    <w:p>
      <w:pPr>
        <w:pStyle w:val="ListBullet"/>
      </w:pPr>
      <w:r>
        <w:t>checksum reference</w:t>
      </w:r>
    </w:p>
    <w:p>
      <w:pPr>
        <w:pStyle w:val="ListBullet"/>
      </w:pPr>
      <w:r>
        <w:t>schema version</w:t>
      </w:r>
    </w:p>
    <w:p>
      <w:pPr>
        <w:pStyle w:val="ListBullet"/>
      </w:pPr>
      <w:r>
        <w:t>transfer status</w:t>
      </w:r>
    </w:p>
    <w:p>
      <w:pPr>
        <w:pStyle w:val="ListBullet"/>
      </w:pPr>
      <w:r>
        <w:t>validation</w:t>
      </w:r>
    </w:p>
    <w:p>
      <w:pPr>
        <w:pStyle w:val="ListBullet"/>
      </w:pPr>
      <w:r>
        <w:t>partial failure</w:t>
      </w:r>
    </w:p>
    <w:p>
      <w:pPr>
        <w:pStyle w:val="ListBullet"/>
      </w:pPr>
      <w:r>
        <w:t>retry</w:t>
      </w:r>
    </w:p>
    <w:p>
      <w:pPr>
        <w:pStyle w:val="ListBullet"/>
      </w:pPr>
      <w:r>
        <w:t>reconciliation.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 bulk acquisition; NCIE-003 data lineage; NCIE-009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accepted transfer classes/formats and size/volume thresholds.</w:t>
      </w:r>
    </w:p>
    <w:p>
      <w:pPr>
        <w:pStyle w:val="Heading2"/>
      </w:pPr>
      <w:r>
        <w:t>Chapter 18 — Event Bus Architecture &amp; Event Contract Model</w:t>
      </w:r>
    </w:p>
    <w:p>
      <w:r>
        <w:t>Chapter Purpose. Define asynchronous event contracts and event-bus behavior.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EVENT RECEIVED ≠ AUTHORITATIVE CURRENT STATE. Consumers must reconcile current state where required; events remain versioned, traceable and idempotent-consumer safe.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Event identity/type</w:t>
      </w:r>
    </w:p>
    <w:p>
      <w:pPr>
        <w:pStyle w:val="ListBullet"/>
      </w:pPr>
      <w:r>
        <w:t>schema version</w:t>
      </w:r>
    </w:p>
    <w:p>
      <w:pPr>
        <w:pStyle w:val="ListBullet"/>
      </w:pPr>
      <w:r>
        <w:t>correlation ID</w:t>
      </w:r>
    </w:p>
    <w:p>
      <w:pPr>
        <w:pStyle w:val="ListBullet"/>
      </w:pPr>
      <w:r>
        <w:t>publisher</w:t>
      </w:r>
    </w:p>
    <w:p>
      <w:pPr>
        <w:pStyle w:val="ListBullet"/>
      </w:pPr>
      <w:r>
        <w:t>timestamp</w:t>
      </w:r>
    </w:p>
    <w:p>
      <w:pPr>
        <w:pStyle w:val="ListBullet"/>
      </w:pPr>
      <w:r>
        <w:t>payload reference</w:t>
      </w:r>
    </w:p>
    <w:p>
      <w:pPr>
        <w:pStyle w:val="ListBullet"/>
      </w:pPr>
      <w:r>
        <w:t>ordering key</w:t>
      </w:r>
    </w:p>
    <w:p>
      <w:pPr>
        <w:pStyle w:val="ListBullet"/>
      </w:pPr>
      <w:r>
        <w:t>delivery semantics</w:t>
      </w:r>
    </w:p>
    <w:p>
      <w:pPr>
        <w:pStyle w:val="ListBullet"/>
      </w:pPr>
      <w:r>
        <w:t>consumer responsibilities.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Ch.25.2-25.5.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event-retention/replay policy and category-specific delivery expectations.</w:t>
      </w:r>
    </w:p>
    <w:p>
      <w:pPr>
        <w:pStyle w:val="Heading2"/>
      </w:pPr>
      <w:r>
        <w:t>Chapter 19 — Event Categories &amp; Domain Event Taxonomy</w:t>
      </w:r>
    </w:p>
    <w:p>
      <w:r>
        <w:t>Chapter Purpose. Define the event taxonomy across source, PM/KPI, Alert/Situation, workflow, collaboration, Agent/VPF, Evidence and security domains.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Event categories must trace to owning domain semantics; event publication does not transfer ownership of the underlying business state.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Source events</w:t>
      </w:r>
    </w:p>
    <w:p>
      <w:pPr>
        <w:pStyle w:val="ListBullet"/>
      </w:pPr>
      <w:r>
        <w:t>KPI events</w:t>
      </w:r>
    </w:p>
    <w:p>
      <w:pPr>
        <w:pStyle w:val="ListBullet"/>
      </w:pPr>
      <w:r>
        <w:t>situation events</w:t>
      </w:r>
    </w:p>
    <w:p>
      <w:pPr>
        <w:pStyle w:val="ListBullet"/>
      </w:pPr>
      <w:r>
        <w:t>workflow events</w:t>
      </w:r>
    </w:p>
    <w:p>
      <w:pPr>
        <w:pStyle w:val="ListBullet"/>
      </w:pPr>
      <w:r>
        <w:t>collaboration events</w:t>
      </w:r>
    </w:p>
    <w:p>
      <w:pPr>
        <w:pStyle w:val="ListBullet"/>
      </w:pPr>
      <w:r>
        <w:t>Agent/VPF events</w:t>
      </w:r>
    </w:p>
    <w:p>
      <w:pPr>
        <w:pStyle w:val="ListBullet"/>
      </w:pPr>
      <w:r>
        <w:t>Evidence/audit events</w:t>
      </w:r>
    </w:p>
    <w:p>
      <w:pPr>
        <w:pStyle w:val="ListBullet"/>
      </w:pPr>
      <w:r>
        <w:t>security events.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event categories; NCIE-003/005/007/009/010 downstream events.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any additional event categories and ownership.</w:t>
      </w:r>
    </w:p>
    <w:p>
      <w:pPr>
        <w:pStyle w:val="Heading2"/>
      </w:pPr>
      <w:r>
        <w:t>Chapter 20 — Schema Registry &amp; Contract Versioning</w:t>
      </w:r>
    </w:p>
    <w:p>
      <w:r>
        <w:t>Chapter Purpose. Define schema/version governance for APIs and events.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SCHEMA COMPATIBILITY ≠ SEMANTIC COMPATIBILITY. Additive-first evolution is preferred; breaking changes require a new major contract version rather than silent in-place redefinition.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Schema registry</w:t>
      </w:r>
    </w:p>
    <w:p>
      <w:pPr>
        <w:pStyle w:val="ListBullet"/>
      </w:pPr>
      <w:r>
        <w:t>compatibility rules</w:t>
      </w:r>
    </w:p>
    <w:p>
      <w:pPr>
        <w:pStyle w:val="ListBullet"/>
      </w:pPr>
      <w:r>
        <w:t>deprecation</w:t>
      </w:r>
    </w:p>
    <w:p>
      <w:pPr>
        <w:pStyle w:val="ListBullet"/>
      </w:pPr>
      <w:r>
        <w:t>major/minor versions</w:t>
      </w:r>
    </w:p>
    <w:p>
      <w:pPr>
        <w:pStyle w:val="ListBullet"/>
      </w:pPr>
      <w:r>
        <w:t>consumer compatibility</w:t>
      </w:r>
    </w:p>
    <w:p>
      <w:pPr>
        <w:pStyle w:val="ListBullet"/>
      </w:pPr>
      <w:r>
        <w:t>migration notices.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Ch.25.4; NCIE-003 versioned canonical data.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deprecation windows and compatibility authority.</w:t>
      </w:r>
    </w:p>
    <w:p>
      <w:pPr>
        <w:pStyle w:val="Heading2"/>
      </w:pPr>
      <w:r>
        <w:t>Chapter 21 — Correlation, Causation &amp; Trace Propagation</w:t>
      </w:r>
    </w:p>
    <w:p>
      <w:r>
        <w:t>Chapter Purpose. Define correlation and trace identifiers across API, event, Tool, Agent, Evidence and workflow paths.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CORRELATION ID ≠ AUTHORIZATION TOKEN and correlation does not establish causality or institutional responsibility by itself.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Correlation ID</w:t>
      </w:r>
    </w:p>
    <w:p>
      <w:pPr>
        <w:pStyle w:val="ListBullet"/>
      </w:pPr>
      <w:r>
        <w:t>causation reference</w:t>
      </w:r>
    </w:p>
    <w:p>
      <w:pPr>
        <w:pStyle w:val="ListBullet"/>
      </w:pPr>
      <w:r>
        <w:t>trace context</w:t>
      </w:r>
    </w:p>
    <w:p>
      <w:pPr>
        <w:pStyle w:val="ListBullet"/>
      </w:pPr>
      <w:r>
        <w:t>parent/child request</w:t>
      </w:r>
    </w:p>
    <w:p>
      <w:pPr>
        <w:pStyle w:val="ListBullet"/>
      </w:pPr>
      <w:r>
        <w:t>workflow/run IDs</w:t>
      </w:r>
    </w:p>
    <w:p>
      <w:pPr>
        <w:pStyle w:val="ListBullet"/>
      </w:pPr>
      <w:r>
        <w:t>audit references.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correlation requirement; NCIE-003 provenance; NCIE-010 audit/provenance.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cross-boundary trace propagation limits for privacy/security.</w:t>
      </w:r>
    </w:p>
    <w:p>
      <w:pPr>
        <w:pStyle w:val="Heading2"/>
      </w:pPr>
      <w:r>
        <w:t>Chapter 22 — Idempotency, Duplicate Suppression &amp; Safe Retry</w:t>
      </w:r>
    </w:p>
    <w:p>
      <w:r>
        <w:t>Chapter Purpose. Define safe retry semantics for synchronous and asynchronous integration.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RETRY ≠ SAFE REEXECUTION. IDEMPOTENCY KEY ≠ BUSINESS UNIQUENESS. Duplicate suppression must not hide legitimate repeated business actions.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Idempotency key</w:t>
      </w:r>
    </w:p>
    <w:p>
      <w:pPr>
        <w:pStyle w:val="ListBullet"/>
      </w:pPr>
      <w:r>
        <w:t>dedup window concept</w:t>
      </w:r>
    </w:p>
    <w:p>
      <w:pPr>
        <w:pStyle w:val="ListBullet"/>
      </w:pPr>
      <w:r>
        <w:t>replay detection</w:t>
      </w:r>
    </w:p>
    <w:p>
      <w:pPr>
        <w:pStyle w:val="ListBullet"/>
      </w:pPr>
      <w:r>
        <w:t>retry policy</w:t>
      </w:r>
    </w:p>
    <w:p>
      <w:pPr>
        <w:pStyle w:val="ListBullet"/>
      </w:pPr>
      <w:r>
        <w:t>side-effect safety</w:t>
      </w:r>
    </w:p>
    <w:p>
      <w:pPr>
        <w:pStyle w:val="ListBullet"/>
      </w:pPr>
      <w:r>
        <w:t>Tool reconciliation</w:t>
      </w:r>
    </w:p>
    <w:p>
      <w:pPr>
        <w:pStyle w:val="ListBullet"/>
      </w:pPr>
      <w:r>
        <w:t>duplicate event handling.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reliability; NCIE-007 Tool idempotency/outcome semantics.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operation classes require mandatory idempotency keys.</w:t>
      </w:r>
    </w:p>
    <w:p>
      <w:pPr>
        <w:pStyle w:val="Heading2"/>
      </w:pPr>
      <w:r>
        <w:t>Chapter 23 — Asynchronous Operations &amp; Long-Running Workflows</w:t>
      </w:r>
    </w:p>
    <w:p>
      <w:r>
        <w:t>Chapter Purpose. Define contracts for jobs/runs that cannot complete synchronously.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REQUEST ACCEPTED ≠ ACTION COMPLETED. APIs must expose accepted, running, waiting, failed, cancelled, completed and outcome-unknown states where applicable.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Operation resource</w:t>
      </w:r>
    </w:p>
    <w:p>
      <w:pPr>
        <w:pStyle w:val="ListBullet"/>
      </w:pPr>
      <w:r>
        <w:t>status</w:t>
      </w:r>
    </w:p>
    <w:p>
      <w:pPr>
        <w:pStyle w:val="ListBullet"/>
      </w:pPr>
      <w:r>
        <w:t>polling/subscription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progress</w:t>
      </w:r>
    </w:p>
    <w:p>
      <w:pPr>
        <w:pStyle w:val="ListBullet"/>
      </w:pPr>
      <w:r>
        <w:t>timeout</w:t>
      </w:r>
    </w:p>
    <w:p>
      <w:pPr>
        <w:pStyle w:val="ListBullet"/>
      </w:pPr>
      <w:r>
        <w:t>completion receipt</w:t>
      </w:r>
    </w:p>
    <w:p>
      <w:pPr>
        <w:pStyle w:val="ListBullet"/>
      </w:pPr>
      <w:r>
        <w:t>partial result.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workflow states; NCIE-004/007 runtime patterns.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status vocabulary extensions and cancellation guarantees.</w:t>
      </w:r>
    </w:p>
    <w:p>
      <w:pPr>
        <w:pStyle w:val="Heading2"/>
      </w:pPr>
      <w:r>
        <w:t>Chapter 24 — Webhook &amp; Callback Interfaces</w:t>
      </w:r>
    </w:p>
    <w:p>
      <w:r>
        <w:t>Chapter Purpose. Define outbound callback/webhook behavior for external integrations.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WEBHOOK DELIVERY ≠ VERIFIED DOWNSTREAM PROCESSING. Delivery status, signature/authentication, retry and consumer acknowledgement remain distinct.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Subscription</w:t>
      </w:r>
    </w:p>
    <w:p>
      <w:pPr>
        <w:pStyle w:val="ListBullet"/>
      </w:pPr>
      <w:r>
        <w:t>endpoint validation</w:t>
      </w:r>
    </w:p>
    <w:p>
      <w:pPr>
        <w:pStyle w:val="ListBullet"/>
      </w:pPr>
      <w:r>
        <w:t>event filtering</w:t>
      </w:r>
    </w:p>
    <w:p>
      <w:pPr>
        <w:pStyle w:val="ListBullet"/>
      </w:pPr>
      <w:r>
        <w:t>delivery attempt</w:t>
      </w:r>
    </w:p>
    <w:p>
      <w:pPr>
        <w:pStyle w:val="ListBullet"/>
      </w:pPr>
      <w:r>
        <w:t>retry</w:t>
      </w:r>
    </w:p>
    <w:p>
      <w:pPr>
        <w:pStyle w:val="ListBullet"/>
      </w:pPr>
      <w:r>
        <w:t>acknowledgement</w:t>
      </w:r>
    </w:p>
    <w:p>
      <w:pPr>
        <w:pStyle w:val="ListBullet"/>
      </w:pPr>
      <w:r>
        <w:t>disablement</w:t>
      </w:r>
    </w:p>
    <w:p>
      <w:pPr>
        <w:pStyle w:val="ListBullet"/>
      </w:pPr>
      <w:r>
        <w:t>audit.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event architecture; NCIE-009 external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allowed webhook consumers and retry/deactivation policy.</w:t>
      </w:r>
    </w:p>
    <w:p>
      <w:pPr>
        <w:pStyle w:val="Heading2"/>
      </w:pPr>
      <w:r>
        <w:t>Chapter 25 — Error Semantics &amp; Failure Taxonomy</w:t>
      </w:r>
    </w:p>
    <w:p>
      <w:r>
        <w:t>Chapter Purpose. Define consistent API/event error behavior across NCIE services.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Errors must distinguish authentication, authorization, validation, conflict, unavailable dependency, timeout, accepted-but-pending, outcome unknown and internal failure. Failures must not be collapsed into generic success/failure.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Error codes/classes</w:t>
      </w:r>
    </w:p>
    <w:p>
      <w:pPr>
        <w:pStyle w:val="ListBullet"/>
      </w:pPr>
      <w:r>
        <w:t>machine-readable details</w:t>
      </w:r>
    </w:p>
    <w:p>
      <w:pPr>
        <w:pStyle w:val="ListBullet"/>
      </w:pPr>
      <w:r>
        <w:t>correlation</w:t>
      </w:r>
    </w:p>
    <w:p>
      <w:pPr>
        <w:pStyle w:val="ListBullet"/>
      </w:pPr>
      <w:r>
        <w:t>retryability</w:t>
      </w:r>
    </w:p>
    <w:p>
      <w:pPr>
        <w:pStyle w:val="ListBullet"/>
      </w:pPr>
      <w:r>
        <w:t>user-safe message</w:t>
      </w:r>
    </w:p>
    <w:p>
      <w:pPr>
        <w:pStyle w:val="ListBullet"/>
      </w:pPr>
      <w:r>
        <w:t>audit reference.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failure modes; NCIE-005 degraded behavior; NCIE-007 Tool/VPF states.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public versus internal error detail exposure.</w:t>
      </w:r>
    </w:p>
    <w:p>
      <w:pPr>
        <w:pStyle w:val="Heading2"/>
      </w:pPr>
      <w:r>
        <w:t>Chapter 26 — Rate Limits, Quotas &amp; Backpressure</w:t>
      </w:r>
    </w:p>
    <w:p>
      <w:r>
        <w:t>Chapter Purpose. Define interface-level load protection without inventing unsupported numeric thresholds.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Rate limiting protects service reliability; it does not create business priority or institutional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Per-principal limits</w:t>
      </w:r>
    </w:p>
    <w:p>
      <w:pPr>
        <w:pStyle w:val="ListBullet"/>
      </w:pPr>
      <w:r>
        <w:t>burst control</w:t>
      </w:r>
    </w:p>
    <w:p>
      <w:pPr>
        <w:pStyle w:val="ListBullet"/>
      </w:pPr>
      <w:r>
        <w:t>queue/backpressure</w:t>
      </w:r>
    </w:p>
    <w:p>
      <w:pPr>
        <w:pStyle w:val="ListBullet"/>
      </w:pPr>
      <w:r>
        <w:t>retry-after semantics</w:t>
      </w:r>
    </w:p>
    <w:p>
      <w:pPr>
        <w:pStyle w:val="ListBullet"/>
      </w:pPr>
      <w:r>
        <w:t>event consumer lag</w:t>
      </w:r>
    </w:p>
    <w:p>
      <w:pPr>
        <w:pStyle w:val="ListBullet"/>
      </w:pPr>
      <w:r>
        <w:t>overload behavior.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NFRs; NCIE-004 engineering; NCIE-009 abuse controls.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quota ownership and high-priority exception governance.</w:t>
      </w:r>
    </w:p>
    <w:p>
      <w:pPr>
        <w:pStyle w:val="Heading2"/>
      </w:pPr>
      <w:r>
        <w:t>Chapter 27 — Integration Security &amp; Zero-Trust Enforcement</w:t>
      </w:r>
    </w:p>
    <w:p>
      <w:r>
        <w:t>Chapter Purpose. Bind NCIE-009 authentication, authorization, scoped machine identities, Tool/connector security and DLP requirements into every API/event surface.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API ACCESS ≠ AUTHORIZATION. External/internal integration must be explicitly authenticated/authorized and constrained by purpose, classification and current policy.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Authn/authz handoff</w:t>
      </w:r>
    </w:p>
    <w:p>
      <w:pPr>
        <w:pStyle w:val="ListBullet"/>
      </w:pPr>
      <w:r>
        <w:t>scoped identities</w:t>
      </w:r>
    </w:p>
    <w:p>
      <w:pPr>
        <w:pStyle w:val="ListBullet"/>
      </w:pPr>
      <w:r>
        <w:t>policy enforcement</w:t>
      </w:r>
    </w:p>
    <w:p>
      <w:pPr>
        <w:pStyle w:val="ListBullet"/>
      </w:pPr>
      <w:r>
        <w:t>DLP</w:t>
      </w:r>
    </w:p>
    <w:p>
      <w:pPr>
        <w:pStyle w:val="ListBullet"/>
      </w:pPr>
      <w:r>
        <w:t>secrets</w:t>
      </w:r>
    </w:p>
    <w:p>
      <w:pPr>
        <w:pStyle w:val="ListBullet"/>
      </w:pPr>
      <w:r>
        <w:t>mTLS concept</w:t>
      </w:r>
    </w:p>
    <w:p>
      <w:pPr>
        <w:pStyle w:val="ListBullet"/>
      </w:pPr>
      <w:r>
        <w:t>audit</w:t>
      </w:r>
    </w:p>
    <w:p>
      <w:pPr>
        <w:pStyle w:val="ListBullet"/>
      </w:pPr>
      <w:r>
        <w:t>revocation.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 Ch.5-6, 16 and downstream handover.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high-risk API surfaces and additional security controls.</w:t>
      </w:r>
    </w:p>
    <w:p>
      <w:pPr>
        <w:pStyle w:val="Heading2"/>
      </w:pPr>
      <w:r>
        <w:t>Chapter 28 — Contract Observability, Audit &amp; SLO Interface</w:t>
      </w:r>
    </w:p>
    <w:p>
      <w:r>
        <w:t>Chapter Purpose. Define observability requirements for APIs/events/connectors without conflating telemetry, audit and provenance.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Operational metrics do not prove business correctness; audit/provenance records remain distinct from traces and logs.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Latency</w:t>
      </w:r>
    </w:p>
    <w:p>
      <w:pPr>
        <w:pStyle w:val="ListBullet"/>
      </w:pPr>
      <w:r>
        <w:t>errors</w:t>
      </w:r>
    </w:p>
    <w:p>
      <w:pPr>
        <w:pStyle w:val="ListBullet"/>
      </w:pPr>
      <w:r>
        <w:t>saturation</w:t>
      </w:r>
    </w:p>
    <w:p>
      <w:pPr>
        <w:pStyle w:val="ListBullet"/>
      </w:pPr>
      <w:r>
        <w:t>retries</w:t>
      </w:r>
    </w:p>
    <w:p>
      <w:pPr>
        <w:pStyle w:val="ListBullet"/>
      </w:pPr>
      <w:r>
        <w:t>connector health</w:t>
      </w:r>
    </w:p>
    <w:p>
      <w:pPr>
        <w:pStyle w:val="ListBullet"/>
      </w:pPr>
      <w:r>
        <w:t>consumer lag</w:t>
      </w:r>
    </w:p>
    <w:p>
      <w:pPr>
        <w:pStyle w:val="ListBullet"/>
      </w:pPr>
      <w:r>
        <w:t>traces</w:t>
      </w:r>
    </w:p>
    <w:p>
      <w:pPr>
        <w:pStyle w:val="ListBullet"/>
      </w:pPr>
      <w:r>
        <w:t>audit references</w:t>
      </w:r>
    </w:p>
    <w:p>
      <w:pPr>
        <w:pStyle w:val="ListBullet"/>
      </w:pPr>
      <w:r>
        <w:t>dashboards interface.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observability; NCIE-009 logging; NCIE-010 audit/provenance.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interface SLO ownership and alert escalation.</w:t>
      </w:r>
    </w:p>
    <w:p>
      <w:pPr>
        <w:pStyle w:val="Heading2"/>
      </w:pPr>
      <w:r>
        <w:t>Chapter 29 — Degraded Integration, Buffering &amp; Reconciliation</w:t>
      </w:r>
    </w:p>
    <w:p>
      <w:r>
        <w:t>Chapter Purpose. Define behavior when event bus, partner systems, connectors or downstream services are unavailable.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No event is silently dropped. Buffering/retry does not authorize infinite replay or side-effect duplication; reconciliation must surface gaps and uncertainty.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Buffering</w:t>
      </w:r>
    </w:p>
    <w:p>
      <w:pPr>
        <w:pStyle w:val="ListBullet"/>
      </w:pPr>
      <w:r>
        <w:t>retry</w:t>
      </w:r>
    </w:p>
    <w:p>
      <w:pPr>
        <w:pStyle w:val="ListBullet"/>
      </w:pPr>
      <w:r>
        <w:t>dead-letter/quarantine concept</w:t>
      </w:r>
    </w:p>
    <w:p>
      <w:pPr>
        <w:pStyle w:val="ListBullet"/>
      </w:pPr>
      <w:r>
        <w:t>replay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gap detection</w:t>
      </w:r>
    </w:p>
    <w:p>
      <w:pPr>
        <w:pStyle w:val="ListBullet"/>
      </w:pPr>
      <w:r>
        <w:t>partial availability</w:t>
      </w:r>
    </w:p>
    <w:p>
      <w:pPr>
        <w:pStyle w:val="ListBullet"/>
      </w:pPr>
      <w:r>
        <w:t>recovery status.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Ch.25.7; NCIE-004 resilience; NCIE-010 recovery.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maximum buffering/replay tolerances and manual intervention thresholds.</w:t>
      </w:r>
    </w:p>
    <w:p>
      <w:pPr>
        <w:pStyle w:val="Heading2"/>
      </w:pPr>
      <w:r>
        <w:t>Chapter 30 — API / Integration Testing &amp; Contract Verification</w:t>
      </w:r>
    </w:p>
    <w:p>
      <w:r>
        <w:t>Chapter Purpose. Define contract, compatibility, security, idempotency, replay, failure, reconciliation and connector test classes without duplicating NCIE-016.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TEST SPECIFIED ≠ TEST EXECUTED. Passing schema validation alone is insufficient; semantic, security and failure-path behavior must also be verified.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Contract tests</w:t>
      </w:r>
    </w:p>
    <w:p>
      <w:pPr>
        <w:pStyle w:val="ListBullet"/>
      </w:pPr>
      <w:r>
        <w:t>consumer compatibility</w:t>
      </w:r>
    </w:p>
    <w:p>
      <w:pPr>
        <w:pStyle w:val="ListBullet"/>
      </w:pPr>
      <w:r>
        <w:t>authz tests</w:t>
      </w:r>
    </w:p>
    <w:p>
      <w:pPr>
        <w:pStyle w:val="ListBullet"/>
      </w:pPr>
      <w:r>
        <w:t>event replay</w:t>
      </w:r>
    </w:p>
    <w:p>
      <w:pPr>
        <w:pStyle w:val="ListBullet"/>
      </w:pPr>
      <w:r>
        <w:t>duplicate suppression</w:t>
      </w:r>
    </w:p>
    <w:p>
      <w:pPr>
        <w:pStyle w:val="ListBullet"/>
      </w:pPr>
      <w:r>
        <w:t>retry safety</w:t>
      </w:r>
    </w:p>
    <w:p>
      <w:pPr>
        <w:pStyle w:val="ListBullet"/>
      </w:pPr>
      <w:r>
        <w:t>connector fault tests</w:t>
      </w:r>
    </w:p>
    <w:p>
      <w:pPr>
        <w:pStyle w:val="ListBullet"/>
      </w:pPr>
      <w:r>
        <w:t>external sandbox tests.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acceptance; NCIE-009 security tests; NCIE-016 downstream.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test acceptance authority and partner certification requirements.</w:t>
      </w:r>
    </w:p>
    <w:p>
      <w:pPr>
        <w:pStyle w:val="Heading2"/>
      </w:pPr>
      <w:r>
        <w:t>Chapter 31 — Human Review Register &amp; Open Integration Decisions</w:t>
      </w:r>
    </w:p>
    <w:p>
      <w:r>
        <w:t>Chapter Purpose. Consolidate unresolved NCIE-011 API/integration decisions without inventing product, policy or authority.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Deduplicate identical NCIE-008/009 governance/security questions; create HR11 items only for distinct interface/integration decisions. Blocking scope must be precise.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ID</w:t>
      </w:r>
    </w:p>
    <w:p>
      <w:pPr>
        <w:pStyle w:val="ListBullet"/>
      </w:pPr>
      <w:r>
        <w:t>source chapter</w:t>
      </w:r>
    </w:p>
    <w:p>
      <w:pPr>
        <w:pStyle w:val="ListBullet"/>
      </w:pPr>
      <w:r>
        <w:t>question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upstream dependency</w:t>
      </w:r>
    </w:p>
    <w:p>
      <w:pPr>
        <w:pStyle w:val="ListBullet"/>
      </w:pPr>
      <w:r>
        <w:t>status.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All chapters above; NCIE-008/009 Human Review registers.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Decide which interface decisions must close before full expansion/approval.</w:t>
      </w:r>
    </w:p>
    <w:p>
      <w:pPr>
        <w:pStyle w:val="Heading2"/>
      </w:pPr>
      <w:r>
        <w:t>Chapter 32 — Traceability, Acceptance &amp; Downstream Handover</w:t>
      </w:r>
    </w:p>
    <w:p>
      <w:r>
        <w:t>Chapter Purpose. Close traceability to NCIE-001–010 and define downstream handover.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Skeleton approval authorizes expansion only. API architecture approval does not prove implementation, partner readiness, connector availability or test execution.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Traceability matrix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skeleton fidelity</w:t>
      </w:r>
    </w:p>
    <w:p>
      <w:pPr>
        <w:pStyle w:val="ListBullet"/>
      </w:pPr>
      <w:r>
        <w:t>Human Review gate</w:t>
      </w:r>
    </w:p>
    <w:p>
      <w:pPr>
        <w:pStyle w:val="ListBullet"/>
      </w:pPr>
      <w:r>
        <w:t>handover to NCIE-012/013/014/015/016.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Approved NCIE-001–010 foundation; Master Controlled Register.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skeletal structure and authorize controlled full expansion.</w:t>
      </w:r>
    </w:p>
    <w:p>
      <w:pPr>
        <w:pStyle w:val="Heading1"/>
      </w:pPr>
      <w:r>
        <w:t>Preliminary Human Review Themes</w:t>
      </w:r>
    </w:p>
    <w:p>
      <w:pPr>
        <w:pStyle w:val="ListBullet"/>
      </w:pPr>
      <w:r>
        <w:t>NCIE-011 acceptance/sign-off authority.</w:t>
      </w:r>
    </w:p>
    <w:p>
      <w:pPr>
        <w:pStyle w:val="ListBullet"/>
      </w:pPr>
      <w:r>
        <w:t>Service-contract publication/deprecation authority.</w:t>
      </w:r>
    </w:p>
    <w:p>
      <w:pPr>
        <w:pStyle w:val="ListBullet"/>
      </w:pPr>
      <w:r>
        <w:t>Permitted internal gateway-bypass patterns, if any.</w:t>
      </w:r>
    </w:p>
    <w:p>
      <w:pPr>
        <w:pStyle w:val="ListBullet"/>
      </w:pPr>
      <w:r>
        <w:t>External partner/operator onboarding authority and restricted data classes.</w:t>
      </w:r>
    </w:p>
    <w:p>
      <w:pPr>
        <w:pStyle w:val="ListBullet"/>
      </w:pPr>
      <w:r>
        <w:t>ARGUS-facing synchronous versus asynchronous interface boundaries.</w:t>
      </w:r>
    </w:p>
    <w:p>
      <w:pPr>
        <w:pStyle w:val="ListBullet"/>
      </w:pPr>
      <w:r>
        <w:t>Memory/Context write authorities and cross-context exceptions.</w:t>
      </w:r>
    </w:p>
    <w:p>
      <w:pPr>
        <w:pStyle w:val="ListBullet"/>
      </w:pPr>
      <w:r>
        <w:t>Agent lifecycle operations requiring explicit Human/Governance approval.</w:t>
      </w:r>
    </w:p>
    <w:p>
      <w:pPr>
        <w:pStyle w:val="ListBullet"/>
      </w:pPr>
      <w:r>
        <w:t>Caller-visible versus internal Model Gateway routing metadata.</w:t>
      </w:r>
    </w:p>
    <w:p>
      <w:pPr>
        <w:pStyle w:val="ListBullet"/>
      </w:pPr>
      <w:r>
        <w:t>High-risk Tool classes and mandatory approval-reference requirements.</w:t>
      </w:r>
    </w:p>
    <w:p>
      <w:pPr>
        <w:pStyle w:val="ListBullet"/>
      </w:pPr>
      <w:r>
        <w:t>VPF operation access by technical-principal class.</w:t>
      </w:r>
    </w:p>
    <w:p>
      <w:pPr>
        <w:pStyle w:val="ListBullet"/>
      </w:pPr>
      <w:r>
        <w:t>Evidence/audit mutability expectations and privileged audit access.</w:t>
      </w:r>
    </w:p>
    <w:p>
      <w:pPr>
        <w:pStyle w:val="ListBullet"/>
      </w:pPr>
      <w:r>
        <w:t>Source/domain connector approval, attestation and source-specific requirements.</w:t>
      </w:r>
    </w:p>
    <w:p>
      <w:pPr>
        <w:pStyle w:val="ListBullet"/>
      </w:pPr>
      <w:r>
        <w:t>Event replay/retention policy and category-specific delivery expectations.</w:t>
      </w:r>
    </w:p>
    <w:p>
      <w:pPr>
        <w:pStyle w:val="ListBullet"/>
      </w:pPr>
      <w:r>
        <w:t>Schema deprecation windows and compatibility authority.</w:t>
      </w:r>
    </w:p>
    <w:p>
      <w:pPr>
        <w:pStyle w:val="ListBullet"/>
      </w:pPr>
      <w:r>
        <w:t>Mandatory idempotency-key operation classes.</w:t>
      </w:r>
    </w:p>
    <w:p>
      <w:pPr>
        <w:pStyle w:val="ListBullet"/>
      </w:pPr>
      <w:r>
        <w:t>Webhook consumer eligibility and retry/deactivation policy.</w:t>
      </w:r>
    </w:p>
    <w:p>
      <w:pPr>
        <w:pStyle w:val="ListBullet"/>
      </w:pPr>
      <w:r>
        <w:t>Public versus internal error-detail exposure.</w:t>
      </w:r>
    </w:p>
    <w:p>
      <w:pPr>
        <w:pStyle w:val="ListBullet"/>
      </w:pPr>
      <w:r>
        <w:t>Quota/SLO ownership, buffering tolerances and intervention thresholds.</w:t>
      </w:r>
    </w:p>
    <w:p>
      <w:pPr>
        <w:pStyle w:val="ListBullet"/>
      </w:pPr>
      <w:r>
        <w:t>Partner certification and contract-test acceptance authority.</w:t>
      </w:r>
    </w:p>
    <w:p>
      <w:pPr>
        <w:pStyle w:val="Heading1"/>
      </w:pPr>
      <w:r>
        <w:t>Skeletal Acceptance Gate</w:t>
      </w:r>
    </w:p>
    <w:p>
      <w:r>
        <w:t>This v0.1 skeleton is for Human structural/conceptual review only. Approval authorizes preparation of a separate Claude full-expansion directive. It does not prove implementation, partner readiness, connector availability, interface security validation or test execution.</w:t>
      </w:r>
    </w:p>
    <w:p>
      <w:r>
        <w:t>FULL EXPANSION STATUS: NOT AUTHORIZED UNTIL EXPLICIT HUMAN APPROVAL OF THIS SKELETAL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SKELETAL DOCUMENT — NOT APPROVED FOR FULL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NCIE-011 | API, INTEGRATION &amp; DATA CONNECTOR SPECIFICATION | SKELETAL v0.1 |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