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NCIE-011 CLAUDE FULL-EXPANSION PRODUCTION DIRECTIVE</w:t>
      </w:r>
    </w:p>
    <w:p>
      <w:pPr>
        <w:pStyle w:val="Heading1"/>
      </w:pPr>
      <w:r>
        <w:t>Approved Skeletal v0.1 → Full API, Integration &amp; Data Connector Specification v1.0</w:t>
      </w:r>
    </w:p>
    <w:p>
      <w:r>
        <w:t>CONTROLLED EXPANSION. The Human-approved 32-chapter NCIE-011 Skeletal v0.1 is structurally authoritative. Full v1.0 remains IN DEVELOPMENT / FOR HUMAN REVIEW until separately approved.</w:t>
      </w:r>
    </w:p>
    <w:p>
      <w:pPr>
        <w:pStyle w:val="Heading2"/>
      </w:pPr>
      <w:r>
        <w:t>1. Execution mandate</w:t>
      </w:r>
    </w:p>
    <w:p>
      <w:r>
        <w:t>Expand the Human-approved NCIE-011 Skeletal v0.1 into the complete NCIE-011 API, Integration &amp; Data Connector Specification v1.0. Elaborate the approved architecture; do not redesign it.</w:t>
      </w:r>
    </w:p>
    <w:p>
      <w:pPr>
        <w:pStyle w:val="Heading2"/>
      </w:pPr>
      <w:r>
        <w:t>2. Authority chain</w:t>
      </w:r>
    </w:p>
    <w:p>
      <w:r>
        <w:t>Use approved NCIE-001 v1.3, NCIE-002 v0.5, NCIE-003 v0.4, NCIE-004 v1.2, NCIE-005 v1.3, NCIE-006 v1.2, NCIE-007 v1.2, NCIE-008 v1.0, NCIE-009 v1.0 and NCIE-010 v1.0.</w:t>
      </w:r>
    </w:p>
    <w:p>
      <w:pPr>
        <w:pStyle w:val="Heading2"/>
      </w:pPr>
      <w:r>
        <w:t>3. Structural lock</w:t>
      </w:r>
    </w:p>
    <w:p>
      <w:r>
        <w:t>Preserve exactly 32 approved chapters, titles, order and boundaries. No chapter addition, deletion, merge, split or wholesale renumbering.</w:t>
      </w:r>
    </w:p>
    <w:p>
      <w:pPr>
        <w:pStyle w:val="Heading2"/>
      </w:pPr>
      <w:r>
        <w:t>4. Skeleton fidelity</w:t>
      </w:r>
    </w:p>
    <w:p>
      <w:r>
        <w:t>Every approved Chapter Purpose, Salient Things to Note, Principal Components, Upstream Dependencies/Authority and Human Review Focus must be substantively expanded.</w:t>
      </w:r>
    </w:p>
    <w:p>
      <w:pPr>
        <w:pStyle w:val="Heading2"/>
      </w:pPr>
      <w:r>
        <w:t>5. Salient Things to Note hard gate</w:t>
      </w:r>
    </w:p>
    <w:p>
      <w:r>
        <w:t>Every full chapter must retain an explicit Salient Things to Note subsection. Programmatically verify 32/32 explicit subsections before delivery.</w:t>
      </w:r>
    </w:p>
    <w:p>
      <w:pPr>
        <w:pStyle w:val="Heading2"/>
      </w:pPr>
      <w:r>
        <w:t>6. Human-primary boundary</w:t>
      </w:r>
    </w:p>
    <w:p>
      <w:r>
        <w:t>Claude may expand, reconcile and validate but must not invent institutional authority, partner approval, operator authority or silently resolve Human Review decisions.</w:t>
      </w:r>
    </w:p>
    <w:p>
      <w:pPr>
        <w:pStyle w:val="Heading2"/>
      </w:pPr>
      <w:r>
        <w:t>7. Contract ownership boundary</w:t>
      </w:r>
    </w:p>
    <w:p>
      <w:r>
        <w:t>NCIE-011 owns detailed API/event/connector/integration contracts. It must not redefine canonical data, business-domain logic, ARGUS behavior, Memory semantics, Agent/VPF semantics, governance, IAM/security, Evidence meaning, UX, storage or operations.</w:t>
      </w:r>
    </w:p>
    <w:p>
      <w:pPr>
        <w:pStyle w:val="Heading2"/>
      </w:pPr>
      <w:r>
        <w:t>8. No product invention</w:t>
      </w:r>
    </w:p>
    <w:p>
      <w:r>
        <w:t>Do not invent gateway, broker, schema-registry, API-management, connector, ETL, webhook, service-mesh or integration products unless approved upstream.</w:t>
      </w:r>
    </w:p>
    <w:p>
      <w:pPr>
        <w:pStyle w:val="Heading2"/>
      </w:pPr>
      <w:r>
        <w:t>9. No protocol invention</w:t>
      </w:r>
    </w:p>
    <w:p>
      <w:r>
        <w:t>Do not hard-code REST/GraphQL/gRPC/Kafka/AMQP or other protocols as universal requirements unless source authority establishes them. Specify contract properties and Human Review unresolved choices.</w:t>
      </w:r>
    </w:p>
    <w:p>
      <w:pPr>
        <w:pStyle w:val="Heading2"/>
      </w:pPr>
      <w:r>
        <w:t>10. No threshold invention</w:t>
      </w:r>
    </w:p>
    <w:p>
      <w:r>
        <w:t>Do not invent rate limits, quotas, timeouts, retry counts, backoff periods, payload sizes, retention windows, deprecation periods, buffering limits or SLOs.</w:t>
      </w:r>
    </w:p>
    <w:p>
      <w:pPr>
        <w:pStyle w:val="Heading2"/>
      </w:pPr>
      <w:r>
        <w:t>11. Controlled unresolved state</w:t>
      </w:r>
    </w:p>
    <w:p>
      <w:r>
        <w:t>Unresolved API/integration choices become precise Human Review items with classification, blocking scope and upstream dependency.</w:t>
      </w:r>
    </w:p>
    <w:p>
      <w:pPr>
        <w:pStyle w:val="Heading2"/>
      </w:pPr>
      <w:r>
        <w:t>12. API authority invariant</w:t>
      </w:r>
    </w:p>
    <w:p>
      <w:r>
        <w:t>Preserve API ACCESS ≠ AUTHORIZATION; AUTHENTICATION SUCCESS ≠ ACTION AUTHORITY; CALLER IDENTITY ≠ HUMAN GOVERNANCE ROLE.</w:t>
      </w:r>
    </w:p>
    <w:p>
      <w:pPr>
        <w:pStyle w:val="Heading2"/>
      </w:pPr>
      <w:r>
        <w:t>13. Completion invariant</w:t>
      </w:r>
    </w:p>
    <w:p>
      <w:r>
        <w:t>Preserve REQUEST ACCEPTED ≠ ACTION COMPLETED; HTTP / TRANSPORT SUCCESS ≠ BUSINESS SUCCESS; EXTERNAL RESPONSE ≠ INSTITUTIONAL FINDING OR DECISION.</w:t>
      </w:r>
    </w:p>
    <w:p>
      <w:pPr>
        <w:pStyle w:val="Heading2"/>
      </w:pPr>
      <w:r>
        <w:t>14. Event invariant</w:t>
      </w:r>
    </w:p>
    <w:p>
      <w:r>
        <w:t>Preserve EVENT RECEIVED ≠ AUTHORITATIVE CURRENT STATE; EVENT REPLAY ≠ PERMISSION TO REEXECUTE SIDE EFFECTS; WEBHOOK DELIVERY ≠ VERIFIED DOWNSTREAM PROCESSING.</w:t>
      </w:r>
    </w:p>
    <w:p>
      <w:pPr>
        <w:pStyle w:val="Heading2"/>
      </w:pPr>
      <w:r>
        <w:t>15. Contract invariant</w:t>
      </w:r>
    </w:p>
    <w:p>
      <w:r>
        <w:t>Preserve SCHEMA COMPATIBILITY ≠ SEMANTIC COMPATIBILITY; SERVICE CONTRACT ≠ CANONICAL DATA OWNERSHIP; API VERSIONING ≠ DATA-MODEL VERSIONING.</w:t>
      </w:r>
    </w:p>
    <w:p>
      <w:pPr>
        <w:pStyle w:val="Heading2"/>
      </w:pPr>
      <w:r>
        <w:t>16. Connector invariant</w:t>
      </w:r>
    </w:p>
    <w:p>
      <w:r>
        <w:t>Preserve INTEGRATION ADAPTER ≠ SYSTEM OF RECORD; CONNECTOR CREDENTIAL ≠ UNBOUNDED DATA ACCESS; TOOL / CONNECTOR ELIGIBILITY ≠ EXECUTION AUTHORITY.</w:t>
      </w:r>
    </w:p>
    <w:p>
      <w:pPr>
        <w:pStyle w:val="Heading2"/>
      </w:pPr>
      <w:r>
        <w:t>17. Retry/idempotency invariant</w:t>
      </w:r>
    </w:p>
    <w:p>
      <w:r>
        <w:t>Preserve RETRY ≠ SAFE REEXECUTION; IDEMPOTENCY KEY ≠ BUSINESS UNIQUENESS.</w:t>
      </w:r>
    </w:p>
    <w:p>
      <w:pPr>
        <w:pStyle w:val="Heading2"/>
      </w:pPr>
      <w:r>
        <w:t>18. Correlation/current-state invariant</w:t>
      </w:r>
    </w:p>
    <w:p>
      <w:r>
        <w:t>Preserve CORRELATION ID ≠ AUTHORIZATION TOKEN; CACHE / REPLICA RESPONSE ≠ CURRENT AUTHORITATIVE STATE.</w:t>
      </w:r>
    </w:p>
    <w:p>
      <w:pPr>
        <w:pStyle w:val="Heading2"/>
      </w:pPr>
      <w:r>
        <w:t>19. Trust invariant</w:t>
      </w:r>
    </w:p>
    <w:p>
      <w:r>
        <w:t>Preserve INTEGRATION AVAILABILITY ≠ TRUSTWORTHINESS OF CONTENT.</w:t>
      </w:r>
    </w:p>
    <w:p>
      <w:pPr>
        <w:pStyle w:val="Heading2"/>
      </w:pPr>
      <w:r>
        <w:t>20. Downstream non-preemption</w:t>
      </w:r>
    </w:p>
    <w:p>
      <w:r>
        <w:t>Do not preempt NCIE-012 UX, NCIE-013 domain-module business logic, NCIE-014 physical storage, NCIE-015 deployment/operations or NCIE-016 detailed testing.</w:t>
      </w:r>
    </w:p>
    <w:p>
      <w:pPr>
        <w:pStyle w:val="Heading2"/>
      </w:pPr>
      <w:r>
        <w:t>21. Chapter 1 expansion — Mandate, Authority Chain &amp; Integration Boundary</w:t>
      </w:r>
    </w:p>
    <w:p>
      <w:r>
        <w:t>Define mandate, authority chain, scope, exclusions and interfaces; clarify that NCIE-011 operationalizes upstream interface obligations without redefining their semantics.</w:t>
      </w:r>
    </w:p>
    <w:p>
      <w:pPr>
        <w:pStyle w:val="Heading2"/>
      </w:pPr>
      <w:r>
        <w:t>22. Chapter 2 expansion — API &amp; Integration Doctrine</w:t>
      </w:r>
    </w:p>
    <w:p>
      <w:r>
        <w:t>Expand contract-first integration doctrine: explicit ownership, bounded coupling, fail-safe behavior, semantic preservation, versioning, observability and traceability.</w:t>
      </w:r>
    </w:p>
    <w:p>
      <w:pPr>
        <w:pStyle w:val="Heading2"/>
      </w:pPr>
      <w:r>
        <w:t>23. Chapter 3 expansion — Service Contract Model &amp; Interface Registry</w:t>
      </w:r>
    </w:p>
    <w:p>
      <w:r>
        <w:t>Define Service Contract/interface-registry model: contract identity, owning service, version, schema/event references, lifecycle/status and documentation metadata without creating canonical ownership.</w:t>
      </w:r>
    </w:p>
    <w:p>
      <w:pPr>
        <w:pStyle w:val="Heading2"/>
      </w:pPr>
      <w:r>
        <w:t>24. Chapter 4 expansion — API Gateway &amp; Entry-Point Architecture</w:t>
      </w:r>
    </w:p>
    <w:p>
      <w:r>
        <w:t>Define API Gateway/entry-point responsibilities: routing, authn handoff, authz enforcement, abuse/rate controls, correlation, observability and policy integration; gateway is not business authority.</w:t>
      </w:r>
    </w:p>
    <w:p>
      <w:pPr>
        <w:pStyle w:val="Heading2"/>
      </w:pPr>
      <w:r>
        <w:t>25. Chapter 5 expansion — Internal Service APIs</w:t>
      </w:r>
    </w:p>
    <w:p>
      <w:r>
        <w:t>Define internal service APIs with service identity, endpoint ownership, request/response, errors, timeouts concept, idempotency, correlation and versioning; internal ≠ trusted.</w:t>
      </w:r>
    </w:p>
    <w:p>
      <w:pPr>
        <w:pStyle w:val="Heading2"/>
      </w:pPr>
      <w:r>
        <w:t>26. Chapter 6 expansion — External Partner APIs</w:t>
      </w:r>
    </w:p>
    <w:p>
      <w:r>
        <w:t>Define external partner APIs: narrowly scoped machine identity, onboarding/offboarding, contract scope, throttling concept, minimization, revocation and audit.</w:t>
      </w:r>
    </w:p>
    <w:p>
      <w:pPr>
        <w:pStyle w:val="Heading2"/>
      </w:pPr>
      <w:r>
        <w:t>27. Chapter 7 expansion — Operator / Regulatory Interface Contracts</w:t>
      </w:r>
    </w:p>
    <w:p>
      <w:r>
        <w:t>Define operator/regulatory interfaces: governed submissions/retrieval, acknowledgements, reconciliation, audit and versioning without granting universal operator access.</w:t>
      </w:r>
    </w:p>
    <w:p>
      <w:pPr>
        <w:pStyle w:val="Heading2"/>
      </w:pPr>
      <w:r>
        <w:t>28. Chapter 8 expansion — ARGUS API Boundary</w:t>
      </w:r>
    </w:p>
    <w:p>
      <w:r>
        <w:t>Define ARGUS-facing interfaces for conversation/session, Context retrieval, Tool requests, status/events and degraded/error responses without redefining ARGUS behavior.</w:t>
      </w:r>
    </w:p>
    <w:p>
      <w:pPr>
        <w:pStyle w:val="Heading2"/>
      </w:pPr>
      <w:r>
        <w:t>29. Chapter 9 expansion — Memory &amp; Context Service Interfaces</w:t>
      </w:r>
    </w:p>
    <w:p>
      <w:r>
        <w:t>Define Memory/Context interfaces preserving User/Room/Investigation purpose, classification, temporal mode, provenance, current authorization, expiry and cross-context controls.</w:t>
      </w:r>
    </w:p>
    <w:p>
      <w:pPr>
        <w:pStyle w:val="Heading2"/>
      </w:pPr>
      <w:r>
        <w:t>30. Chapter 10 expansion — Agent Factory &amp; Agent Runtime APIs</w:t>
      </w:r>
    </w:p>
    <w:p>
      <w:r>
        <w:t>Define Agent Factory/Runtime APIs: discovery, synthesis, Agent Definition, Gate A, Run create/status/cancel, Result Package and lifecycle while preventing self-registration/authority expansion.</w:t>
      </w:r>
    </w:p>
    <w:p>
      <w:pPr>
        <w:pStyle w:val="Heading2"/>
      </w:pPr>
      <w:r>
        <w:t>31. Chapter 11 expansion — Model Gateway APIs</w:t>
      </w:r>
    </w:p>
    <w:p>
      <w:r>
        <w:t>Define Model Gateway contracts: routing constraints, invocation, response, actual model/deployment provenance, fallback state, usage metadata and errors; callers cannot force ineligible routes.</w:t>
      </w:r>
    </w:p>
    <w:p>
      <w:pPr>
        <w:pStyle w:val="Heading2"/>
      </w:pPr>
      <w:r>
        <w:t>32. Chapter 12 expansion — Tool Gateway &amp; Connector Execution APIs</w:t>
      </w:r>
    </w:p>
    <w:p>
      <w:r>
        <w:t>Define Tool Gateway/connector execution contracts: actor/effective principal, target, approval reference, idempotency, execution receipt, outcome, reconciliation and explicit OUTCOME UNKNOWN.</w:t>
      </w:r>
    </w:p>
    <w:p>
      <w:pPr>
        <w:pStyle w:val="Heading2"/>
      </w:pPr>
      <w:r>
        <w:t>33. Chapter 13 expansion — VPF Service Interfaces</w:t>
      </w:r>
    </w:p>
    <w:p>
      <w:r>
        <w:t>Define VPF interfaces for profile lookup, validation request, Validation Artifact, qualification, Human Review Required, unavailable/revalidation/invalidated states and history lookup.</w:t>
      </w:r>
    </w:p>
    <w:p>
      <w:pPr>
        <w:pStyle w:val="Heading2"/>
      </w:pPr>
      <w:r>
        <w:t>34. Chapter 14 expansion — Evidence, Custody &amp; Audit APIs</w:t>
      </w:r>
    </w:p>
    <w:p>
      <w:r>
        <w:t>Define Evidence/custody/audit interfaces handed off by NCIE-010: register/retrieve, custody append, integrity verification, annotation, version state, audit append/query and Decision-Time retrieval without redefining Evidence.</w:t>
      </w:r>
    </w:p>
    <w:p>
      <w:pPr>
        <w:pStyle w:val="Heading2"/>
      </w:pPr>
      <w:r>
        <w:t>35. Chapter 15 expansion — Source Acquisition &amp; Ingestion Connectors</w:t>
      </w:r>
    </w:p>
    <w:p>
      <w:r>
        <w:t>Define source acquisition connectors: pull/push, source identity, acquisition request, validation, health, retries/checkpoints concept, provenance and quarantine; connector success ≠ Evidence.</w:t>
      </w:r>
    </w:p>
    <w:p>
      <w:pPr>
        <w:pStyle w:val="Heading2"/>
      </w:pPr>
      <w:r>
        <w:t>36. Chapter 16 expansion — Domain Data Connectors</w:t>
      </w:r>
    </w:p>
    <w:p>
      <w:r>
        <w:t>Define domain connector patterns for Network, Traffic, Revenue, Mobile Money, SIM, Anti-Fraud, REWS and related feeds while leaving domain interpretation/business rules to NCIE-013.</w:t>
      </w:r>
    </w:p>
    <w:p>
      <w:pPr>
        <w:pStyle w:val="Heading2"/>
      </w:pPr>
      <w:r>
        <w:t>37. Chapter 17 expansion — Bulk File &amp; Batch Integration</w:t>
      </w:r>
    </w:p>
    <w:p>
      <w:r>
        <w:t>Define bulk file/batch contracts: manifest, file identity, integrity reference, schema version, transfer/processing status, validation, partial failure, retry and reconciliation.</w:t>
      </w:r>
    </w:p>
    <w:p>
      <w:pPr>
        <w:pStyle w:val="Heading2"/>
      </w:pPr>
      <w:r>
        <w:t>38. Chapter 18 expansion — Event Bus Architecture &amp; Event Contract Model</w:t>
      </w:r>
    </w:p>
    <w:p>
      <w:r>
        <w:t>Define event-bus/event-contract model: event identity/type, schema version, correlation, publisher, timestamp, payload/reference, ordering key, delivery semantics and consumer responsibilities.</w:t>
      </w:r>
    </w:p>
    <w:p>
      <w:pPr>
        <w:pStyle w:val="Heading2"/>
      </w:pPr>
      <w:r>
        <w:t>39. Chapter 19 expansion — Event Categories &amp; Domain Event Taxonomy</w:t>
      </w:r>
    </w:p>
    <w:p>
      <w:r>
        <w:t>Define event taxonomy across source, KPI, Situation, workflow, collaboration, Agent/VPF, Evidence/audit and security domains while preserving underlying domain ownership.</w:t>
      </w:r>
    </w:p>
    <w:p>
      <w:pPr>
        <w:pStyle w:val="Heading2"/>
      </w:pPr>
      <w:r>
        <w:t>40. Chapter 20 expansion — Schema Registry &amp; Contract Versioning</w:t>
      </w:r>
    </w:p>
    <w:p>
      <w:r>
        <w:t>Define schema registry/versioning: compatibility rules, additive-first evolution, deprecation, major/minor contract versions, consumer compatibility and migration notices; schema compatibility ≠ semantic compatibility.</w:t>
      </w:r>
    </w:p>
    <w:p>
      <w:pPr>
        <w:pStyle w:val="Heading2"/>
      </w:pPr>
      <w:r>
        <w:t>41. Chapter 21 expansion — Correlation, Causation &amp; Trace Propagation</w:t>
      </w:r>
    </w:p>
    <w:p>
      <w:r>
        <w:t>Define correlation/causation/trace propagation across APIs, events, Tools, Agents, Evidence and workflows while preserving correlation ≠ authorization and correlation ≠ causality.</w:t>
      </w:r>
    </w:p>
    <w:p>
      <w:pPr>
        <w:pStyle w:val="Heading2"/>
      </w:pPr>
      <w:r>
        <w:t>42. Chapter 22 expansion — Idempotency, Duplicate Suppression &amp; Safe Retry</w:t>
      </w:r>
    </w:p>
    <w:p>
      <w:r>
        <w:t>Define idempotency, duplicate suppression and safe retry: keys, replay detection, retryability, side-effect safety, Tool reconciliation and duplicate events without confusing idempotency with business uniqueness.</w:t>
      </w:r>
    </w:p>
    <w:p>
      <w:pPr>
        <w:pStyle w:val="Heading2"/>
      </w:pPr>
      <w:r>
        <w:t>43. Chapter 23 expansion — Asynchronous Operations &amp; Long-Running Workflows</w:t>
      </w:r>
    </w:p>
    <w:p>
      <w:r>
        <w:t>Define long-running/asynchronous operation resources and states: accepted, running, waiting, failed, cancelled, completed and outcome unknown where applicable; expose progress/completion receipts.</w:t>
      </w:r>
    </w:p>
    <w:p>
      <w:pPr>
        <w:pStyle w:val="Heading2"/>
      </w:pPr>
      <w:r>
        <w:t>44. Chapter 24 expansion — Webhook &amp; Callback Interfaces</w:t>
      </w:r>
    </w:p>
    <w:p>
      <w:r>
        <w:t>Define webhook/callback subscription, endpoint validation, filtering, delivery attempts, retries, acknowledgements, disablement and audit; delivery ≠ downstream processing.</w:t>
      </w:r>
    </w:p>
    <w:p>
      <w:pPr>
        <w:pStyle w:val="Heading2"/>
      </w:pPr>
      <w:r>
        <w:t>45. Chapter 25 expansion — Error Semantics &amp; Failure Taxonomy</w:t>
      </w:r>
    </w:p>
    <w:p>
      <w:r>
        <w:t>Define failure taxonomy distinguishing authn, authz, validation, conflict, unavailable dependency, timeout, pending, outcome unknown and internal failure with machine-readable details/correlation.</w:t>
      </w:r>
    </w:p>
    <w:p>
      <w:pPr>
        <w:pStyle w:val="Heading2"/>
      </w:pPr>
      <w:r>
        <w:t>46. Chapter 26 expansion — Rate Limits, Quotas &amp; Backpressure</w:t>
      </w:r>
    </w:p>
    <w:p>
      <w:r>
        <w:t>Define rate-limit/quota/backpressure architecture conceptually: per-principal controls, burst/queue behavior, retry-after, consumer lag and overload; do not invent numbers.</w:t>
      </w:r>
    </w:p>
    <w:p>
      <w:pPr>
        <w:pStyle w:val="Heading2"/>
      </w:pPr>
      <w:r>
        <w:t>47. Chapter 27 expansion — Integration Security &amp; Zero-Trust Enforcement</w:t>
      </w:r>
    </w:p>
    <w:p>
      <w:r>
        <w:t>Bind NCIE-009 Zero Trust into every API/event surface: authn/authz, scoped identities, DLP, secrets, transport-security concept, audit and revocation; API access ≠ authorization.</w:t>
      </w:r>
    </w:p>
    <w:p>
      <w:pPr>
        <w:pStyle w:val="Heading2"/>
      </w:pPr>
      <w:r>
        <w:t>48. Chapter 28 expansion — Contract Observability, Audit &amp; SLO Interface</w:t>
      </w:r>
    </w:p>
    <w:p>
      <w:r>
        <w:t>Define contract observability: latency, errors, saturation, retries, connector health, consumer lag, traces and audit references while preserving telemetry ≠ audit/provenance/business correctness.</w:t>
      </w:r>
    </w:p>
    <w:p>
      <w:pPr>
        <w:pStyle w:val="Heading2"/>
      </w:pPr>
      <w:r>
        <w:t>49. Chapter 29 expansion — Degraded Integration, Buffering &amp; Reconciliation</w:t>
      </w:r>
    </w:p>
    <w:p>
      <w:r>
        <w:t>Define degraded integration/buffering/reconciliation: retry, quarantine/dead-letter concept, replay, gap detection, partial availability and recovery; no silent event loss or blind side-effect replay.</w:t>
      </w:r>
    </w:p>
    <w:p>
      <w:pPr>
        <w:pStyle w:val="Heading2"/>
      </w:pPr>
      <w:r>
        <w:t>50. Chapter 30 expansion — API / Integration Testing &amp; Contract Verification</w:t>
      </w:r>
    </w:p>
    <w:p>
      <w:r>
        <w:t>Define contract/compatibility/security/idempotency/replay/failure/reconciliation/connector test classes. Preserve TEST SPECIFIED ≠ TEST EXECUTED and do not duplicate NCIE-016 detailed execution.</w:t>
      </w:r>
    </w:p>
    <w:p>
      <w:pPr>
        <w:pStyle w:val="Heading2"/>
      </w:pPr>
      <w:r>
        <w:t>51. Chapter 31 expansion — Human Review Register &amp; Open Integration Decisions</w:t>
      </w:r>
    </w:p>
    <w:p>
      <w:r>
        <w:t>Build the complete Human Review Register from unresolved Chapters 1–30 and 32; deduplicate identical NCIE-008/009 governance/security questions and create HR11 items only for distinct integration decisions.</w:t>
      </w:r>
    </w:p>
    <w:p>
      <w:pPr>
        <w:pStyle w:val="Heading2"/>
      </w:pPr>
      <w:r>
        <w:t>52. Chapter 32 expansion — Traceability, Acceptance &amp; Downstream Handover</w:t>
      </w:r>
    </w:p>
    <w:p>
      <w:r>
        <w:t>Build traceability to NCIE-001–010, acceptance criteria, skeleton fidelity, Human Review gate, readiness limitations and handover to NCIE-012/013/014/015/016.</w:t>
      </w:r>
    </w:p>
    <w:p>
      <w:pPr>
        <w:pStyle w:val="Heading2"/>
      </w:pPr>
      <w:r>
        <w:t>53. Interface catalogue matrix</w:t>
      </w:r>
    </w:p>
    <w:p>
      <w:r>
        <w:t>Create a consolidated interface catalogue identifying interface/contract, owning service, caller/consumer class, synchronous/asynchronous mode, canonical schema reference, authorization boundary, version and Human Review status.</w:t>
      </w:r>
    </w:p>
    <w:p>
      <w:pPr>
        <w:pStyle w:val="Heading2"/>
      </w:pPr>
      <w:r>
        <w:t>54. Service contract matrix</w:t>
      </w:r>
    </w:p>
    <w:p>
      <w:r>
        <w:t>Map Service Contracts to owning services and request/response/event schema references without making NCIE-011 the canonical data owner.</w:t>
      </w:r>
    </w:p>
    <w:p>
      <w:pPr>
        <w:pStyle w:val="Heading2"/>
      </w:pPr>
      <w:r>
        <w:t>55. API authorization matrix</w:t>
      </w:r>
    </w:p>
    <w:p>
      <w:r>
        <w:t>Map caller principal, target service/object/action, purpose/classification, current authorization decision/enforcement and audit requirement; API access never substitutes for authorization.</w:t>
      </w:r>
    </w:p>
    <w:p>
      <w:pPr>
        <w:pStyle w:val="Heading2"/>
      </w:pPr>
      <w:r>
        <w:t>56. Event contract matrix</w:t>
      </w:r>
    </w:p>
    <w:p>
      <w:r>
        <w:t>Map event type/category, publisher, consumers, schema version, correlation/causation reference, delivery semantics, ordering/replay requirements and authoritative-state reconciliation.</w:t>
      </w:r>
    </w:p>
    <w:p>
      <w:pPr>
        <w:pStyle w:val="Heading2"/>
      </w:pPr>
      <w:r>
        <w:t>57. Connector matrix</w:t>
      </w:r>
    </w:p>
    <w:p>
      <w:r>
        <w:t>Map source/domain/partner connector classes to identity, scope, schema mapping, provenance, security, health/checkpoint, error/reconciliation and Human Review requirements.</w:t>
      </w:r>
    </w:p>
    <w:p>
      <w:pPr>
        <w:pStyle w:val="Heading2"/>
      </w:pPr>
      <w:r>
        <w:t>58. Error-state matrix</w:t>
      </w:r>
    </w:p>
    <w:p>
      <w:r>
        <w:t>Create a consistent error/failure matrix including retryability and caller-safe semantics; do not expose sensitive internal details by default.</w:t>
      </w:r>
    </w:p>
    <w:p>
      <w:pPr>
        <w:pStyle w:val="Heading2"/>
      </w:pPr>
      <w:r>
        <w:t>59. Asynchronous-state matrix</w:t>
      </w:r>
    </w:p>
    <w:p>
      <w:r>
        <w:t>Define consistent long-running-operation states and transition semantics without conflicting with upstream workflow/Agent/Tool states.</w:t>
      </w:r>
    </w:p>
    <w:p>
      <w:pPr>
        <w:pStyle w:val="Heading2"/>
      </w:pPr>
      <w:r>
        <w:t>60. Human Review reconciliation</w:t>
      </w:r>
    </w:p>
    <w:p>
      <w:r>
        <w:t>Programmatically extract every HR11 ID and reconcile Chapter 31: zero duplicate IDs, zero orphan current items, explained classifications and precise Blocking/Non-Blocking scopes.</w:t>
      </w:r>
    </w:p>
    <w:p>
      <w:pPr>
        <w:pStyle w:val="Heading2"/>
      </w:pPr>
      <w:r>
        <w:t>61. Upstream Human Review deduplication</w:t>
      </w:r>
    </w:p>
    <w:p>
      <w:r>
        <w:t>Reference existing NCIE-008/009 Human Review where the institutional/security question is identical; create new HR11 only for a distinct interface decision.</w:t>
      </w:r>
    </w:p>
    <w:p>
      <w:pPr>
        <w:pStyle w:val="Heading2"/>
      </w:pPr>
      <w:r>
        <w:t>62. Test-status integrity</w:t>
      </w:r>
    </w:p>
    <w:p>
      <w:r>
        <w:t>For Chapter 30 distinguish TEST SPECIFIED, IMPLEMENTATION EVIDENCE AVAILABLE, TEST EXECUTED, TEST PASSED and OPERATIONAL/PARTNER ACCEPTANCE.</w:t>
      </w:r>
    </w:p>
    <w:p>
      <w:pPr>
        <w:pStyle w:val="Heading2"/>
      </w:pPr>
      <w:r>
        <w:t>63. Outcome-unknown audit</w:t>
      </w:r>
    </w:p>
    <w:p>
      <w:r>
        <w:t>Search final content for any path that treats accepted/submitted/time-out responses as confirmed Tool/external outcomes; preserve OUTCOME UNKNOWN and reconciliation.</w:t>
      </w:r>
    </w:p>
    <w:p>
      <w:pPr>
        <w:pStyle w:val="Heading2"/>
      </w:pPr>
      <w:r>
        <w:t>64. Event-authority audit</w:t>
      </w:r>
    </w:p>
    <w:p>
      <w:r>
        <w:t>Search for any wording that makes an event authoritative current state without reconciliation where upstream semantics require current source resolution.</w:t>
      </w:r>
    </w:p>
    <w:p>
      <w:pPr>
        <w:pStyle w:val="Heading2"/>
      </w:pPr>
      <w:r>
        <w:t>65. Retry-safety audit</w:t>
      </w:r>
    </w:p>
    <w:p>
      <w:r>
        <w:t>Verify retry/replay cannot silently duplicate consequential side effects or reuse stale approvals/authorization.</w:t>
      </w:r>
    </w:p>
    <w:p>
      <w:pPr>
        <w:pStyle w:val="Heading2"/>
      </w:pPr>
      <w:r>
        <w:t>66. Schema-semantic audit</w:t>
      </w:r>
    </w:p>
    <w:p>
      <w:r>
        <w:t>Verify schema compatibility is never presented as semantic/business compatibility and contract versions do not redefine canonical entity semantics.</w:t>
      </w:r>
    </w:p>
    <w:p>
      <w:pPr>
        <w:pStyle w:val="Heading2"/>
      </w:pPr>
      <w:r>
        <w:t>67. Security audit</w:t>
      </w:r>
    </w:p>
    <w:p>
      <w:r>
        <w:t>Verify all API/event/connector surfaces preserve NCIE-009 current authn/authz, DLP, scoped identities, secrets handling, revocation and protected-data controls.</w:t>
      </w:r>
    </w:p>
    <w:p>
      <w:pPr>
        <w:pStyle w:val="Heading2"/>
      </w:pPr>
      <w:r>
        <w:t>68. Evidence/audit interface audit</w:t>
      </w:r>
    </w:p>
    <w:p>
      <w:r>
        <w:t>Verify NCIE-010 Evidence/custody/audit interfaces preserve Evidence identity, chain-of-custody, historical integrity and provenance/audit distinctions.</w:t>
      </w:r>
    </w:p>
    <w:p>
      <w:pPr>
        <w:pStyle w:val="Heading2"/>
      </w:pPr>
      <w:r>
        <w:t>69. No fabricated protocols/products</w:t>
      </w:r>
    </w:p>
    <w:p>
      <w:r>
        <w:t>Search for unsupported universal protocol/product selections and remove or convert them to property-based requirements/Human Review.</w:t>
      </w:r>
    </w:p>
    <w:p>
      <w:pPr>
        <w:pStyle w:val="Heading2"/>
      </w:pPr>
      <w:r>
        <w:t>70. No fabricated thresholds</w:t>
      </w:r>
    </w:p>
    <w:p>
      <w:r>
        <w:t>Search for unsupported numeric timeouts, limits, quotas, payload sizes, retry counts, deprecation windows, buffering limits or SLOs.</w:t>
      </w:r>
    </w:p>
    <w:p>
      <w:pPr>
        <w:pStyle w:val="Heading2"/>
      </w:pPr>
      <w:r>
        <w:t>71. No implementation claims</w:t>
      </w:r>
    </w:p>
    <w:p>
      <w:r>
        <w:t>Do not claim APIs/connectors/events are implemented, partner-certified, operational or production-ready merely because specified.</w:t>
      </w:r>
    </w:p>
    <w:p>
      <w:pPr>
        <w:pStyle w:val="Heading2"/>
      </w:pPr>
      <w:r>
        <w:t>72. Adversarial review</w:t>
      </w:r>
    </w:p>
    <w:p>
      <w:r>
        <w:t>Review from API architecture, event-driven integration, connector/data engineering, IAM/Zero Trust, Agent/Tool orchestration, Evidence/provenance and failure/reconciliation perspectives; correct defects without exposing private chain-of-thought.</w:t>
      </w:r>
    </w:p>
    <w:p>
      <w:pPr>
        <w:pStyle w:val="Heading2"/>
      </w:pPr>
      <w:r>
        <w:t>73. Skeleton fidelity audit</w:t>
      </w:r>
    </w:p>
    <w:p>
      <w:r>
        <w:t>Verify all 32 approved Chapter Purposes, Salient Things to Note, Principal Components, dependencies and Human Review foci are represented and not inverted.</w:t>
      </w:r>
    </w:p>
    <w:p>
      <w:pPr>
        <w:pStyle w:val="Heading2"/>
      </w:pPr>
      <w:r>
        <w:t>74. 32-chapter integrity audit</w:t>
      </w:r>
    </w:p>
    <w:p>
      <w:r>
        <w:t>Programmatically verify exactly 32 sequential chapters, no missing/duplicate/added chapter and no unintended renaming.</w:t>
      </w:r>
    </w:p>
    <w:p>
      <w:pPr>
        <w:pStyle w:val="Heading2"/>
      </w:pPr>
      <w:r>
        <w:t>75. Salient Things to Note audit</w:t>
      </w:r>
    </w:p>
    <w:p>
      <w:r>
        <w:t>Programmatically verify an explicit Salient Things to Note subsection in all 32 chapters.</w:t>
      </w:r>
    </w:p>
    <w:p>
      <w:pPr>
        <w:pStyle w:val="Heading2"/>
      </w:pPr>
      <w:r>
        <w:t>76. Cross-reference audit</w:t>
      </w:r>
    </w:p>
    <w:p>
      <w:r>
        <w:t>Verify NCIE-001–010 versions, chapter references, canonical objects, HR11 IDs and downstream NCIE-012/013/014/015/016 handovers.</w:t>
      </w:r>
    </w:p>
    <w:p>
      <w:pPr>
        <w:pStyle w:val="Heading2"/>
      </w:pPr>
      <w:r>
        <w:t>77. Invariant audit</w:t>
      </w:r>
    </w:p>
    <w:p>
      <w:r>
        <w:t>Verify every approved skeletal integration invariant is explicitly preserved and no operative chapter contradicts it.</w:t>
      </w:r>
    </w:p>
    <w:p>
      <w:pPr>
        <w:pStyle w:val="Heading2"/>
      </w:pPr>
      <w:r>
        <w:t>78. Visual/table audit</w:t>
      </w:r>
    </w:p>
    <w:p>
      <w:r>
        <w:t>Render every page and inspect interface, event, connector, error, Human Review, test and traceability tables for clipping, overlap and readability.</w:t>
      </w:r>
    </w:p>
    <w:p>
      <w:pPr>
        <w:pStyle w:val="Heading2"/>
      </w:pPr>
      <w:r>
        <w:t>79. Document control</w:t>
      </w:r>
    </w:p>
    <w:p>
      <w:r>
        <w:t>Produce NCIE-011 v1.0 IN DEVELOPMENT / FOR HUMAN REVIEW. Update cover, governance, revision history, headers/footers, filename and metadata; preserve Skeletal v0.1 as approved expansion architecture.</w:t>
      </w:r>
    </w:p>
    <w:p>
      <w:pPr>
        <w:pStyle w:val="Heading2"/>
      </w:pPr>
      <w:r>
        <w:t>80. Deliverable A</w:t>
      </w:r>
    </w:p>
    <w:p>
      <w:r>
        <w:t>Produce NCIE-011_API_Integration_Data_Connector_Specification_v1_0_IN_DEVELOPMENT.docx containing the complete 32-chapter specification.</w:t>
      </w:r>
    </w:p>
    <w:p>
      <w:pPr>
        <w:pStyle w:val="Heading2"/>
      </w:pPr>
      <w:r>
        <w:t>81. Deliverable B</w:t>
      </w:r>
    </w:p>
    <w:p>
      <w:r>
        <w:t>Produce NCIE-011_v1_0_Full_Expansion_Change_Register.docx mapping every skeletal chapter/component/salient note to expanded location, authority basis, Human Review effect and status.</w:t>
      </w:r>
    </w:p>
    <w:p>
      <w:pPr>
        <w:pStyle w:val="Heading2"/>
      </w:pPr>
      <w:r>
        <w:t>82. Deliverable C</w:t>
      </w:r>
    </w:p>
    <w:p>
      <w:r>
        <w:t>Produce NCIE-011_v0_1_to_v1_0_Expansion_Verification_Report.docx covering skeleton fidelity, 32-chapter integrity, salient-note coverage, invariants, Human Review, test status, traceability, document control and visual QA.</w:t>
      </w:r>
    </w:p>
    <w:p>
      <w:pPr>
        <w:pStyle w:val="Heading2"/>
      </w:pPr>
      <w:r>
        <w:t>83. Three-artifact consistency</w:t>
      </w:r>
    </w:p>
    <w:p>
      <w:r>
        <w:t>All three artifacts must agree on version/status, 32 chapters, authority chain, Human Review totals/classifications/blockers, test status, integration invariants and downstream handover.</w:t>
      </w:r>
    </w:p>
    <w:p>
      <w:pPr>
        <w:pStyle w:val="Heading2"/>
      </w:pPr>
      <w:r>
        <w:t>84. Chat response</w:t>
      </w:r>
    </w:p>
    <w:p>
      <w:r>
        <w:t>Do not paste the full specification into chat. Return concise production summary, Human Review totals/classifications, blockers, test status, integrity results and links to the three deliverables.</w:t>
      </w:r>
    </w:p>
    <w:p>
      <w:pPr>
        <w:pStyle w:val="Heading2"/>
      </w:pPr>
      <w:r>
        <w:t>85. Directive integrity gate</w:t>
      </w:r>
    </w:p>
    <w:p>
      <w:r>
        <w:t>Before production mechanically verify expected numbered items = actual items; missing = none; duplicates = none; truncated = none; approved chapter coverage = 32/32.</w:t>
      </w:r>
    </w:p>
    <w:p>
      <w:pPr>
        <w:pStyle w:val="Heading2"/>
      </w:pPr>
      <w:r>
        <w:t>86. Final execution instruction</w:t>
      </w:r>
    </w:p>
    <w:p>
      <w:r>
        <w:t>Proceed only after this directive passes integrity verification. Use the Human-approved NCIE-011 Skeletal v0.1 plus approved NCIE-001–010 as the sole substantive basis and preserve unresolved choices for Human Review.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86</w:t>
        <w:br/>
        <w:t>ACTUAL NUMBERED ITEMS = 86</w:t>
        <w:br/>
        <w:t>MISSING NUMBERS = NONE</w:t>
        <w:br/>
        <w:t>DUPLICATE NUMBERS = NONE</w:t>
        <w:br/>
        <w:t>TRUNCATED ITEMS = NONE</w:t>
        <w:br/>
        <w:t>APPROVED CHAPTER COVERAGE = 32/32</w:t>
      </w:r>
    </w:p>
    <w:p>
      <w:r>
        <w:t>This declaration must be independently rechecked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API / INTEGRATION PRODUCTION INSTRUCTION — HUMAN-PRIMARY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NCIE-011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