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NCIE-011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API, Integration &amp; Data Connector Specification — IN DEVELOPMENT / FOR HUMAN REVIEW</w:t>
      </w:r>
    </w:p>
    <w:p>
      <w:pPr>
        <w:spacing w:after="200"/>
      </w:pPr>
      <w:r>
        <w:rPr>
          <w:sz w:val="19"/>
          <w:szCs w:val="19"/>
        </w:rPr>
        <w:t xml:space="preserve">Maps each of the 32 approved NCIE-011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32 chapters (directive item 75 hard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integration boundary; HR focus: acceptance authority/NCIE-013 overlap.</w:t>
            </w:r>
          </w:p>
        </w:tc>
        <w:tc>
          <w:tcPr>
            <w:tcW w:type="dxa" w:w="2600"/>
            <w:tcMar>
              <w:top w:type="dxa" w:w="60"/>
              <w:left w:type="dxa" w:w="80"/>
              <w:bottom w:type="dxa" w:w="60"/>
              <w:right w:type="dxa" w:w="80"/>
            </w:tcMar>
          </w:tcPr>
          <w:p>
            <w:r>
              <w:rPr>
                <w:b w:val="false"/>
                <w:bCs w:val="false"/>
                <w:sz w:val="17"/>
                <w:szCs w:val="17"/>
              </w:rPr>
              <w:t xml:space="preserve">§1.0-1.3, Table 1 (boundary), Table 2 (RACI), HR11-1-1.</w:t>
            </w:r>
          </w:p>
        </w:tc>
        <w:tc>
          <w:tcPr>
            <w:tcW w:type="dxa" w:w="2400"/>
            <w:tcMar>
              <w:top w:type="dxa" w:w="60"/>
              <w:left w:type="dxa" w:w="80"/>
              <w:bottom w:type="dxa" w:w="60"/>
              <w:right w:type="dxa" w:w="80"/>
            </w:tcMar>
          </w:tcPr>
          <w:p>
            <w:r>
              <w:rPr>
                <w:b w:val="false"/>
                <w:bCs w:val="false"/>
                <w:sz w:val="17"/>
                <w:szCs w:val="17"/>
              </w:rPr>
              <w:t xml:space="preserve">Master Controlled Register v2.0; NCIE-002 Ch.25; NCIE-003/005/009/010.</w:t>
            </w:r>
          </w:p>
        </w:tc>
        <w:tc>
          <w:tcPr>
            <w:tcW w:type="dxa" w:w="2400"/>
            <w:tcMar>
              <w:top w:type="dxa" w:w="60"/>
              <w:left w:type="dxa" w:w="80"/>
              <w:bottom w:type="dxa" w:w="60"/>
              <w:right w:type="dxa" w:w="80"/>
            </w:tcMar>
          </w:tcPr>
          <w:p>
            <w:r>
              <w:rPr>
                <w:b w:val="false"/>
                <w:bCs w:val="false"/>
                <w:sz w:val="17"/>
                <w:szCs w:val="17"/>
              </w:rPr>
              <w:t xml:space="preserve">HR11-1-1 cross-referenced to NCIE-008 HR8-10-1 (directive item 61 dedup).</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API &amp; integration doctrine; HR focus: institution-specific governance rules.</w:t>
            </w:r>
          </w:p>
        </w:tc>
        <w:tc>
          <w:tcPr>
            <w:tcW w:type="dxa" w:w="2600"/>
            <w:tcMar>
              <w:top w:type="dxa" w:w="60"/>
              <w:left w:type="dxa" w:w="80"/>
              <w:bottom w:type="dxa" w:w="60"/>
              <w:right w:type="dxa" w:w="80"/>
            </w:tcMar>
          </w:tcPr>
          <w:p>
            <w:r>
              <w:rPr>
                <w:b w:val="false"/>
                <w:bCs w:val="false"/>
                <w:sz w:val="17"/>
                <w:szCs w:val="17"/>
              </w:rPr>
              <w:t xml:space="preserve">§2.0-2.2, Table 3 (RACI), HR11-2-1.</w:t>
            </w:r>
          </w:p>
        </w:tc>
        <w:tc>
          <w:tcPr>
            <w:tcW w:type="dxa" w:w="2400"/>
            <w:tcMar>
              <w:top w:type="dxa" w:w="60"/>
              <w:left w:type="dxa" w:w="80"/>
              <w:bottom w:type="dxa" w:w="60"/>
              <w:right w:type="dxa" w:w="80"/>
            </w:tcMar>
          </w:tcPr>
          <w:p>
            <w:r>
              <w:rPr>
                <w:b w:val="false"/>
                <w:bCs w:val="false"/>
                <w:sz w:val="17"/>
                <w:szCs w:val="17"/>
              </w:rPr>
              <w:t xml:space="preserve">NCIE-002; NCIE-008; NCIE-009.</w:t>
            </w:r>
          </w:p>
        </w:tc>
        <w:tc>
          <w:tcPr>
            <w:tcW w:type="dxa" w:w="2400"/>
            <w:tcMar>
              <w:top w:type="dxa" w:w="60"/>
              <w:left w:type="dxa" w:w="80"/>
              <w:bottom w:type="dxa" w:w="60"/>
              <w:right w:type="dxa" w:w="80"/>
            </w:tcMar>
          </w:tcPr>
          <w:p>
            <w:r>
              <w:rPr>
                <w:b w:val="false"/>
                <w:bCs w:val="false"/>
                <w:sz w:val="17"/>
                <w:szCs w:val="17"/>
              </w:rPr>
              <w:t xml:space="preserve">HR11-2-1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Service Contract Model &amp; interface registry; HR focus: contract publication/deprecation authority.</w:t>
            </w:r>
          </w:p>
        </w:tc>
        <w:tc>
          <w:tcPr>
            <w:tcW w:type="dxa" w:w="2600"/>
            <w:tcMar>
              <w:top w:type="dxa" w:w="60"/>
              <w:left w:type="dxa" w:w="80"/>
              <w:bottom w:type="dxa" w:w="60"/>
              <w:right w:type="dxa" w:w="80"/>
            </w:tcMar>
          </w:tcPr>
          <w:p>
            <w:r>
              <w:rPr>
                <w:b w:val="false"/>
                <w:bCs w:val="false"/>
                <w:sz w:val="17"/>
                <w:szCs w:val="17"/>
              </w:rPr>
              <w:t xml:space="preserve">§3.0-3.3, Table 4 Interface Catalogue Matrix (item 53), Table 5 Service Contract Matrix (item 54), Table 6 (RACI), HR11-3-1.</w:t>
            </w:r>
          </w:p>
        </w:tc>
        <w:tc>
          <w:tcPr>
            <w:tcW w:type="dxa" w:w="2400"/>
            <w:tcMar>
              <w:top w:type="dxa" w:w="60"/>
              <w:left w:type="dxa" w:w="80"/>
              <w:bottom w:type="dxa" w:w="60"/>
              <w:right w:type="dxa" w:w="80"/>
            </w:tcMar>
          </w:tcPr>
          <w:p>
            <w:r>
              <w:rPr>
                <w:b w:val="false"/>
                <w:bCs w:val="false"/>
                <w:sz w:val="17"/>
                <w:szCs w:val="17"/>
              </w:rPr>
              <w:t xml:space="preserve">NCIE-002 Ch.25.5; NCIE-003.</w:t>
            </w:r>
          </w:p>
        </w:tc>
        <w:tc>
          <w:tcPr>
            <w:tcW w:type="dxa" w:w="2400"/>
            <w:tcMar>
              <w:top w:type="dxa" w:w="60"/>
              <w:left w:type="dxa" w:w="80"/>
              <w:bottom w:type="dxa" w:w="60"/>
              <w:right w:type="dxa" w:w="80"/>
            </w:tcMar>
          </w:tcPr>
          <w:p>
            <w:r>
              <w:rPr>
                <w:b w:val="false"/>
                <w:bCs w:val="false"/>
                <w:sz w:val="17"/>
                <w:szCs w:val="17"/>
              </w:rPr>
              <w:t xml:space="preserve">HR11-3-1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API Gateway &amp; entry-point architecture; HR focus: internal bypass patterns.</w:t>
            </w:r>
          </w:p>
        </w:tc>
        <w:tc>
          <w:tcPr>
            <w:tcW w:type="dxa" w:w="2600"/>
            <w:tcMar>
              <w:top w:type="dxa" w:w="60"/>
              <w:left w:type="dxa" w:w="80"/>
              <w:bottom w:type="dxa" w:w="60"/>
              <w:right w:type="dxa" w:w="80"/>
            </w:tcMar>
          </w:tcPr>
          <w:p>
            <w:r>
              <w:rPr>
                <w:b w:val="false"/>
                <w:bCs w:val="false"/>
                <w:sz w:val="17"/>
                <w:szCs w:val="17"/>
              </w:rPr>
              <w:t xml:space="preserve">§4.0-4.2, Table 7 (RACI), HR11-4-1.</w:t>
            </w:r>
          </w:p>
        </w:tc>
        <w:tc>
          <w:tcPr>
            <w:tcW w:type="dxa" w:w="2400"/>
            <w:tcMar>
              <w:top w:type="dxa" w:w="60"/>
              <w:left w:type="dxa" w:w="80"/>
              <w:bottom w:type="dxa" w:w="60"/>
              <w:right w:type="dxa" w:w="80"/>
            </w:tcMar>
          </w:tcPr>
          <w:p>
            <w:r>
              <w:rPr>
                <w:b w:val="false"/>
                <w:bCs w:val="false"/>
                <w:sz w:val="17"/>
                <w:szCs w:val="17"/>
              </w:rPr>
              <w:t xml:space="preserve">NCIE-002 Ch.25; NCIE-009 Ch.5-6.</w:t>
            </w:r>
          </w:p>
        </w:tc>
        <w:tc>
          <w:tcPr>
            <w:tcW w:type="dxa" w:w="2400"/>
            <w:tcMar>
              <w:top w:type="dxa" w:w="60"/>
              <w:left w:type="dxa" w:w="80"/>
              <w:bottom w:type="dxa" w:w="60"/>
              <w:right w:type="dxa" w:w="80"/>
            </w:tcMar>
          </w:tcPr>
          <w:p>
            <w:r>
              <w:rPr>
                <w:b w:val="false"/>
                <w:bCs w:val="false"/>
                <w:sz w:val="17"/>
                <w:szCs w:val="17"/>
              </w:rPr>
              <w:t xml:space="preserve">HR11-4-1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Internal service APIs; HR focus: internal API classes needing stricter assurance.</w:t>
            </w:r>
          </w:p>
        </w:tc>
        <w:tc>
          <w:tcPr>
            <w:tcW w:type="dxa" w:w="2600"/>
            <w:tcMar>
              <w:top w:type="dxa" w:w="60"/>
              <w:left w:type="dxa" w:w="80"/>
              <w:bottom w:type="dxa" w:w="60"/>
              <w:right w:type="dxa" w:w="80"/>
            </w:tcMar>
          </w:tcPr>
          <w:p>
            <w:r>
              <w:rPr>
                <w:b w:val="false"/>
                <w:bCs w:val="false"/>
                <w:sz w:val="17"/>
                <w:szCs w:val="17"/>
              </w:rPr>
              <w:t xml:space="preserve">§5.0-5.2, Table 8 (RACI), HR11-5-1.</w:t>
            </w:r>
          </w:p>
        </w:tc>
        <w:tc>
          <w:tcPr>
            <w:tcW w:type="dxa" w:w="2400"/>
            <w:tcMar>
              <w:top w:type="dxa" w:w="60"/>
              <w:left w:type="dxa" w:w="80"/>
              <w:bottom w:type="dxa" w:w="60"/>
              <w:right w:type="dxa" w:w="80"/>
            </w:tcMar>
          </w:tcPr>
          <w:p>
            <w:r>
              <w:rPr>
                <w:b w:val="false"/>
                <w:bCs w:val="false"/>
                <w:sz w:val="17"/>
                <w:szCs w:val="17"/>
              </w:rPr>
              <w:t xml:space="preserve">NCIE-002 Ch.25; NCIE-009.</w:t>
            </w:r>
          </w:p>
        </w:tc>
        <w:tc>
          <w:tcPr>
            <w:tcW w:type="dxa" w:w="2400"/>
            <w:tcMar>
              <w:top w:type="dxa" w:w="60"/>
              <w:left w:type="dxa" w:w="80"/>
              <w:bottom w:type="dxa" w:w="60"/>
              <w:right w:type="dxa" w:w="80"/>
            </w:tcMar>
          </w:tcPr>
          <w:p>
            <w:r>
              <w:rPr>
                <w:b w:val="false"/>
                <w:bCs w:val="false"/>
                <w:sz w:val="17"/>
                <w:szCs w:val="17"/>
              </w:rPr>
              <w:t xml:space="preserve">HR11-5-1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External partner APIs; HR focus: partner categories/onboarding authority.</w:t>
            </w:r>
          </w:p>
        </w:tc>
        <w:tc>
          <w:tcPr>
            <w:tcW w:type="dxa" w:w="2600"/>
            <w:tcMar>
              <w:top w:type="dxa" w:w="60"/>
              <w:left w:type="dxa" w:w="80"/>
              <w:bottom w:type="dxa" w:w="60"/>
              <w:right w:type="dxa" w:w="80"/>
            </w:tcMar>
          </w:tcPr>
          <w:p>
            <w:r>
              <w:rPr>
                <w:b w:val="false"/>
                <w:bCs w:val="false"/>
                <w:sz w:val="17"/>
                <w:szCs w:val="17"/>
              </w:rPr>
              <w:t xml:space="preserve">§6.0-6.2, Table 9 (RACI), HR11-6-1.</w:t>
            </w:r>
          </w:p>
        </w:tc>
        <w:tc>
          <w:tcPr>
            <w:tcW w:type="dxa" w:w="2400"/>
            <w:tcMar>
              <w:top w:type="dxa" w:w="60"/>
              <w:left w:type="dxa" w:w="80"/>
              <w:bottom w:type="dxa" w:w="60"/>
              <w:right w:type="dxa" w:w="80"/>
            </w:tcMar>
          </w:tcPr>
          <w:p>
            <w:r>
              <w:rPr>
                <w:b w:val="false"/>
                <w:bCs w:val="false"/>
                <w:sz w:val="17"/>
                <w:szCs w:val="17"/>
              </w:rPr>
              <w:t xml:space="preserve">NCIE-002 Ch.25.6; NCIE-009.</w:t>
            </w:r>
          </w:p>
        </w:tc>
        <w:tc>
          <w:tcPr>
            <w:tcW w:type="dxa" w:w="2400"/>
            <w:tcMar>
              <w:top w:type="dxa" w:w="60"/>
              <w:left w:type="dxa" w:w="80"/>
              <w:bottom w:type="dxa" w:w="60"/>
              <w:right w:type="dxa" w:w="80"/>
            </w:tcMar>
          </w:tcPr>
          <w:p>
            <w:r>
              <w:rPr>
                <w:b w:val="false"/>
                <w:bCs w:val="false"/>
                <w:sz w:val="17"/>
                <w:szCs w:val="17"/>
              </w:rPr>
              <w:t xml:space="preserve">HR11-6-1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Operator/regulatory interface contracts; HR focus: operator classes/authority boundaries.</w:t>
            </w:r>
          </w:p>
        </w:tc>
        <w:tc>
          <w:tcPr>
            <w:tcW w:type="dxa" w:w="2600"/>
            <w:tcMar>
              <w:top w:type="dxa" w:w="60"/>
              <w:left w:type="dxa" w:w="80"/>
              <w:bottom w:type="dxa" w:w="60"/>
              <w:right w:type="dxa" w:w="80"/>
            </w:tcMar>
          </w:tcPr>
          <w:p>
            <w:r>
              <w:rPr>
                <w:b w:val="false"/>
                <w:bCs w:val="false"/>
                <w:sz w:val="17"/>
                <w:szCs w:val="17"/>
              </w:rPr>
              <w:t xml:space="preserve">§7.0-7.2, Table 10 (RACI), HR11-7-1.</w:t>
            </w:r>
          </w:p>
        </w:tc>
        <w:tc>
          <w:tcPr>
            <w:tcW w:type="dxa" w:w="2400"/>
            <w:tcMar>
              <w:top w:type="dxa" w:w="60"/>
              <w:left w:type="dxa" w:w="80"/>
              <w:bottom w:type="dxa" w:w="60"/>
              <w:right w:type="dxa" w:w="80"/>
            </w:tcMar>
          </w:tcPr>
          <w:p>
            <w:r>
              <w:rPr>
                <w:b w:val="false"/>
                <w:bCs w:val="false"/>
                <w:sz w:val="17"/>
                <w:szCs w:val="17"/>
              </w:rPr>
              <w:t xml:space="preserve">Master Register scope; NCIE-001; NCIE-009.</w:t>
            </w:r>
          </w:p>
        </w:tc>
        <w:tc>
          <w:tcPr>
            <w:tcW w:type="dxa" w:w="2400"/>
            <w:tcMar>
              <w:top w:type="dxa" w:w="60"/>
              <w:left w:type="dxa" w:w="80"/>
              <w:bottom w:type="dxa" w:w="60"/>
              <w:right w:type="dxa" w:w="80"/>
            </w:tcMar>
          </w:tcPr>
          <w:p>
            <w:r>
              <w:rPr>
                <w:b w:val="false"/>
                <w:bCs w:val="false"/>
                <w:sz w:val="17"/>
                <w:szCs w:val="17"/>
              </w:rPr>
              <w:t xml:space="preserve">HR11-7-1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ARGUS API boundary; HR focus: synchronous vs asynchronous ARGUS operations.</w:t>
            </w:r>
          </w:p>
        </w:tc>
        <w:tc>
          <w:tcPr>
            <w:tcW w:type="dxa" w:w="2600"/>
            <w:tcMar>
              <w:top w:type="dxa" w:w="60"/>
              <w:left w:type="dxa" w:w="80"/>
              <w:bottom w:type="dxa" w:w="60"/>
              <w:right w:type="dxa" w:w="80"/>
            </w:tcMar>
          </w:tcPr>
          <w:p>
            <w:r>
              <w:rPr>
                <w:b w:val="false"/>
                <w:bCs w:val="false"/>
                <w:sz w:val="17"/>
                <w:szCs w:val="17"/>
              </w:rPr>
              <w:t xml:space="preserve">§8.0-8.2, Table 11 (RACI), HR11-8-1.</w:t>
            </w:r>
          </w:p>
        </w:tc>
        <w:tc>
          <w:tcPr>
            <w:tcW w:type="dxa" w:w="2400"/>
            <w:tcMar>
              <w:top w:type="dxa" w:w="60"/>
              <w:left w:type="dxa" w:w="80"/>
              <w:bottom w:type="dxa" w:w="60"/>
              <w:right w:type="dxa" w:w="80"/>
            </w:tcMar>
          </w:tcPr>
          <w:p>
            <w:r>
              <w:rPr>
                <w:b w:val="false"/>
                <w:bCs w:val="false"/>
                <w:sz w:val="17"/>
                <w:szCs w:val="17"/>
              </w:rPr>
              <w:t xml:space="preserve">NCIE-005; NCIE-006; NCIE-007.</w:t>
            </w:r>
          </w:p>
        </w:tc>
        <w:tc>
          <w:tcPr>
            <w:tcW w:type="dxa" w:w="2400"/>
            <w:tcMar>
              <w:top w:type="dxa" w:w="60"/>
              <w:left w:type="dxa" w:w="80"/>
              <w:bottom w:type="dxa" w:w="60"/>
              <w:right w:type="dxa" w:w="80"/>
            </w:tcMar>
          </w:tcPr>
          <w:p>
            <w:r>
              <w:rPr>
                <w:b w:val="false"/>
                <w:bCs w:val="false"/>
                <w:sz w:val="17"/>
                <w:szCs w:val="17"/>
              </w:rPr>
              <w:t xml:space="preserve">HR11-8-1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Memory &amp; Context service interfaces; HR focus: write authorities/cross-context exceptions.</w:t>
            </w:r>
          </w:p>
        </w:tc>
        <w:tc>
          <w:tcPr>
            <w:tcW w:type="dxa" w:w="2600"/>
            <w:tcMar>
              <w:top w:type="dxa" w:w="60"/>
              <w:left w:type="dxa" w:w="80"/>
              <w:bottom w:type="dxa" w:w="60"/>
              <w:right w:type="dxa" w:w="80"/>
            </w:tcMar>
          </w:tcPr>
          <w:p>
            <w:r>
              <w:rPr>
                <w:b w:val="false"/>
                <w:bCs w:val="false"/>
                <w:sz w:val="17"/>
                <w:szCs w:val="17"/>
              </w:rPr>
              <w:t xml:space="preserve">§9.0-9.2, Table 12 (RACI), HR11-9-1.</w:t>
            </w:r>
          </w:p>
        </w:tc>
        <w:tc>
          <w:tcPr>
            <w:tcW w:type="dxa" w:w="2400"/>
            <w:tcMar>
              <w:top w:type="dxa" w:w="60"/>
              <w:left w:type="dxa" w:w="80"/>
              <w:bottom w:type="dxa" w:w="60"/>
              <w:right w:type="dxa" w:w="80"/>
            </w:tcMar>
          </w:tcPr>
          <w:p>
            <w:r>
              <w:rPr>
                <w:b w:val="false"/>
                <w:bCs w:val="false"/>
                <w:sz w:val="17"/>
                <w:szCs w:val="17"/>
              </w:rPr>
              <w:t xml:space="preserve">NCIE-006 v1.2; NCIE-009.</w:t>
            </w:r>
          </w:p>
        </w:tc>
        <w:tc>
          <w:tcPr>
            <w:tcW w:type="dxa" w:w="2400"/>
            <w:tcMar>
              <w:top w:type="dxa" w:w="60"/>
              <w:left w:type="dxa" w:w="80"/>
              <w:bottom w:type="dxa" w:w="60"/>
              <w:right w:type="dxa" w:w="80"/>
            </w:tcMar>
          </w:tcPr>
          <w:p>
            <w:r>
              <w:rPr>
                <w:b w:val="false"/>
                <w:bCs w:val="false"/>
                <w:sz w:val="17"/>
                <w:szCs w:val="17"/>
              </w:rPr>
              <w:t xml:space="preserve">HR11-9-1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Agent Factory &amp; Agent Runtime APIs; HR focus: Agent lifecycle operations needing approval.</w:t>
            </w:r>
          </w:p>
        </w:tc>
        <w:tc>
          <w:tcPr>
            <w:tcW w:type="dxa" w:w="2600"/>
            <w:tcMar>
              <w:top w:type="dxa" w:w="60"/>
              <w:left w:type="dxa" w:w="80"/>
              <w:bottom w:type="dxa" w:w="60"/>
              <w:right w:type="dxa" w:w="80"/>
            </w:tcMar>
          </w:tcPr>
          <w:p>
            <w:r>
              <w:rPr>
                <w:b w:val="false"/>
                <w:bCs w:val="false"/>
                <w:sz w:val="17"/>
                <w:szCs w:val="17"/>
              </w:rPr>
              <w:t xml:space="preserve">§10.0-10.2, Table 13 (RACI), HR11-10-1.</w:t>
            </w:r>
          </w:p>
        </w:tc>
        <w:tc>
          <w:tcPr>
            <w:tcW w:type="dxa" w:w="2400"/>
            <w:tcMar>
              <w:top w:type="dxa" w:w="60"/>
              <w:left w:type="dxa" w:w="80"/>
              <w:bottom w:type="dxa" w:w="60"/>
              <w:right w:type="dxa" w:w="80"/>
            </w:tcMar>
          </w:tcPr>
          <w:p>
            <w:r>
              <w:rPr>
                <w:b w:val="false"/>
                <w:bCs w:val="false"/>
                <w:sz w:val="17"/>
                <w:szCs w:val="17"/>
              </w:rPr>
              <w:t xml:space="preserve">NCIE-007 Ch.11-16; NCIE-003; NCIE-009.</w:t>
            </w:r>
          </w:p>
        </w:tc>
        <w:tc>
          <w:tcPr>
            <w:tcW w:type="dxa" w:w="2400"/>
            <w:tcMar>
              <w:top w:type="dxa" w:w="60"/>
              <w:left w:type="dxa" w:w="80"/>
              <w:bottom w:type="dxa" w:w="60"/>
              <w:right w:type="dxa" w:w="80"/>
            </w:tcMar>
          </w:tcPr>
          <w:p>
            <w:r>
              <w:rPr>
                <w:b w:val="false"/>
                <w:bCs w:val="false"/>
                <w:sz w:val="17"/>
                <w:szCs w:val="17"/>
              </w:rPr>
              <w:t xml:space="preserve">HR11-10-1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Model Gateway APIs; HR focus: caller-visible vs internal routing metadata.</w:t>
            </w:r>
          </w:p>
        </w:tc>
        <w:tc>
          <w:tcPr>
            <w:tcW w:type="dxa" w:w="2600"/>
            <w:tcMar>
              <w:top w:type="dxa" w:w="60"/>
              <w:left w:type="dxa" w:w="80"/>
              <w:bottom w:type="dxa" w:w="60"/>
              <w:right w:type="dxa" w:w="80"/>
            </w:tcMar>
          </w:tcPr>
          <w:p>
            <w:r>
              <w:rPr>
                <w:b w:val="false"/>
                <w:bCs w:val="false"/>
                <w:sz w:val="17"/>
                <w:szCs w:val="17"/>
              </w:rPr>
              <w:t xml:space="preserve">§11.0-11.2, Table 14 (RACI), HR11-11-1.</w:t>
            </w:r>
          </w:p>
        </w:tc>
        <w:tc>
          <w:tcPr>
            <w:tcW w:type="dxa" w:w="2400"/>
            <w:tcMar>
              <w:top w:type="dxa" w:w="60"/>
              <w:left w:type="dxa" w:w="80"/>
              <w:bottom w:type="dxa" w:w="60"/>
              <w:right w:type="dxa" w:w="80"/>
            </w:tcMar>
          </w:tcPr>
          <w:p>
            <w:r>
              <w:rPr>
                <w:b w:val="false"/>
                <w:bCs w:val="false"/>
                <w:sz w:val="17"/>
                <w:szCs w:val="17"/>
              </w:rPr>
              <w:t xml:space="preserve">NCIE-007 Model Gateway; NCIE-009.</w:t>
            </w:r>
          </w:p>
        </w:tc>
        <w:tc>
          <w:tcPr>
            <w:tcW w:type="dxa" w:w="2400"/>
            <w:tcMar>
              <w:top w:type="dxa" w:w="60"/>
              <w:left w:type="dxa" w:w="80"/>
              <w:bottom w:type="dxa" w:w="60"/>
              <w:right w:type="dxa" w:w="80"/>
            </w:tcMar>
          </w:tcPr>
          <w:p>
            <w:r>
              <w:rPr>
                <w:b w:val="false"/>
                <w:bCs w:val="false"/>
                <w:sz w:val="17"/>
                <w:szCs w:val="17"/>
              </w:rPr>
              <w:t xml:space="preserve">HR11-11-1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Tool Gateway &amp; connector execution APIs; HR focus: high-risk Tool classes/approval refs.</w:t>
            </w:r>
          </w:p>
        </w:tc>
        <w:tc>
          <w:tcPr>
            <w:tcW w:type="dxa" w:w="2600"/>
            <w:tcMar>
              <w:top w:type="dxa" w:w="60"/>
              <w:left w:type="dxa" w:w="80"/>
              <w:bottom w:type="dxa" w:w="60"/>
              <w:right w:type="dxa" w:w="80"/>
            </w:tcMar>
          </w:tcPr>
          <w:p>
            <w:r>
              <w:rPr>
                <w:b w:val="false"/>
                <w:bCs w:val="false"/>
                <w:sz w:val="17"/>
                <w:szCs w:val="17"/>
              </w:rPr>
              <w:t xml:space="preserve">§12.0-12.2, Table 15 (RACI), HR11-12-1.</w:t>
            </w:r>
          </w:p>
        </w:tc>
        <w:tc>
          <w:tcPr>
            <w:tcW w:type="dxa" w:w="2400"/>
            <w:tcMar>
              <w:top w:type="dxa" w:w="60"/>
              <w:left w:type="dxa" w:w="80"/>
              <w:bottom w:type="dxa" w:w="60"/>
              <w:right w:type="dxa" w:w="80"/>
            </w:tcMar>
          </w:tcPr>
          <w:p>
            <w:r>
              <w:rPr>
                <w:b w:val="false"/>
                <w:bCs w:val="false"/>
                <w:sz w:val="17"/>
                <w:szCs w:val="17"/>
              </w:rPr>
              <w:t xml:space="preserve">NCIE-007 Tool Gateway; NCIE-009.</w:t>
            </w:r>
          </w:p>
        </w:tc>
        <w:tc>
          <w:tcPr>
            <w:tcW w:type="dxa" w:w="2400"/>
            <w:tcMar>
              <w:top w:type="dxa" w:w="60"/>
              <w:left w:type="dxa" w:w="80"/>
              <w:bottom w:type="dxa" w:w="60"/>
              <w:right w:type="dxa" w:w="80"/>
            </w:tcMar>
          </w:tcPr>
          <w:p>
            <w:r>
              <w:rPr>
                <w:b w:val="false"/>
                <w:bCs w:val="false"/>
                <w:sz w:val="17"/>
                <w:szCs w:val="17"/>
              </w:rPr>
              <w:t xml:space="preserve">HR11-12-1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VPF service interfaces; HR focus: VPF operation caller eligibility.</w:t>
            </w:r>
          </w:p>
        </w:tc>
        <w:tc>
          <w:tcPr>
            <w:tcW w:type="dxa" w:w="2600"/>
            <w:tcMar>
              <w:top w:type="dxa" w:w="60"/>
              <w:left w:type="dxa" w:w="80"/>
              <w:bottom w:type="dxa" w:w="60"/>
              <w:right w:type="dxa" w:w="80"/>
            </w:tcMar>
          </w:tcPr>
          <w:p>
            <w:r>
              <w:rPr>
                <w:b w:val="false"/>
                <w:bCs w:val="false"/>
                <w:sz w:val="17"/>
                <w:szCs w:val="17"/>
              </w:rPr>
              <w:t xml:space="preserve">§13.0-13.2, Table 16 (RACI), HR11-13-1.</w:t>
            </w:r>
          </w:p>
        </w:tc>
        <w:tc>
          <w:tcPr>
            <w:tcW w:type="dxa" w:w="2400"/>
            <w:tcMar>
              <w:top w:type="dxa" w:w="60"/>
              <w:left w:type="dxa" w:w="80"/>
              <w:bottom w:type="dxa" w:w="60"/>
              <w:right w:type="dxa" w:w="80"/>
            </w:tcMar>
          </w:tcPr>
          <w:p>
            <w:r>
              <w:rPr>
                <w:b w:val="false"/>
                <w:bCs w:val="false"/>
                <w:sz w:val="17"/>
                <w:szCs w:val="17"/>
              </w:rPr>
              <w:t xml:space="preserve">NCIE-003; NCIE-007 Ch.26; NCIE-008/009.</w:t>
            </w:r>
          </w:p>
        </w:tc>
        <w:tc>
          <w:tcPr>
            <w:tcW w:type="dxa" w:w="2400"/>
            <w:tcMar>
              <w:top w:type="dxa" w:w="60"/>
              <w:left w:type="dxa" w:w="80"/>
              <w:bottom w:type="dxa" w:w="60"/>
              <w:right w:type="dxa" w:w="80"/>
            </w:tcMar>
          </w:tcPr>
          <w:p>
            <w:r>
              <w:rPr>
                <w:b w:val="false"/>
                <w:bCs w:val="false"/>
                <w:sz w:val="17"/>
                <w:szCs w:val="17"/>
              </w:rPr>
              <w:t xml:space="preserve">HR11-13-1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Evidence, custody &amp; audit APIs; HR focus: mutability/privileged audit access.</w:t>
            </w:r>
          </w:p>
        </w:tc>
        <w:tc>
          <w:tcPr>
            <w:tcW w:type="dxa" w:w="2600"/>
            <w:tcMar>
              <w:top w:type="dxa" w:w="60"/>
              <w:left w:type="dxa" w:w="80"/>
              <w:bottom w:type="dxa" w:w="60"/>
              <w:right w:type="dxa" w:w="80"/>
            </w:tcMar>
          </w:tcPr>
          <w:p>
            <w:r>
              <w:rPr>
                <w:b w:val="false"/>
                <w:bCs w:val="false"/>
                <w:sz w:val="17"/>
                <w:szCs w:val="17"/>
              </w:rPr>
              <w:t xml:space="preserve">§14.0-14.2, Table 17 (RACI), HR11-14-1.</w:t>
            </w:r>
          </w:p>
        </w:tc>
        <w:tc>
          <w:tcPr>
            <w:tcW w:type="dxa" w:w="2400"/>
            <w:tcMar>
              <w:top w:type="dxa" w:w="60"/>
              <w:left w:type="dxa" w:w="80"/>
              <w:bottom w:type="dxa" w:w="60"/>
              <w:right w:type="dxa" w:w="80"/>
            </w:tcMar>
          </w:tcPr>
          <w:p>
            <w:r>
              <w:rPr>
                <w:b w:val="false"/>
                <w:bCs w:val="false"/>
                <w:sz w:val="17"/>
                <w:szCs w:val="17"/>
              </w:rPr>
              <w:t xml:space="preserve">NCIE-010 Ch.3, 7, 19.</w:t>
            </w:r>
          </w:p>
        </w:tc>
        <w:tc>
          <w:tcPr>
            <w:tcW w:type="dxa" w:w="2400"/>
            <w:tcMar>
              <w:top w:type="dxa" w:w="60"/>
              <w:left w:type="dxa" w:w="80"/>
              <w:bottom w:type="dxa" w:w="60"/>
              <w:right w:type="dxa" w:w="80"/>
            </w:tcMar>
          </w:tcPr>
          <w:p>
            <w:r>
              <w:rPr>
                <w:b w:val="false"/>
                <w:bCs w:val="false"/>
                <w:sz w:val="17"/>
                <w:szCs w:val="17"/>
              </w:rPr>
              <w:t xml:space="preserve">HR11-14-1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Source acquisition &amp; ingestion connectors; HR focus: manual attestation classes.</w:t>
            </w:r>
          </w:p>
        </w:tc>
        <w:tc>
          <w:tcPr>
            <w:tcW w:type="dxa" w:w="2600"/>
            <w:tcMar>
              <w:top w:type="dxa" w:w="60"/>
              <w:left w:type="dxa" w:w="80"/>
              <w:bottom w:type="dxa" w:w="60"/>
              <w:right w:type="dxa" w:w="80"/>
            </w:tcMar>
          </w:tcPr>
          <w:p>
            <w:r>
              <w:rPr>
                <w:b w:val="false"/>
                <w:bCs w:val="false"/>
                <w:sz w:val="17"/>
                <w:szCs w:val="17"/>
              </w:rPr>
              <w:t xml:space="preserve">§15.0-15.3, Table 18 Connector Matrix (item 57), Table 19 (RACI), HR11-15-1.</w:t>
            </w:r>
          </w:p>
        </w:tc>
        <w:tc>
          <w:tcPr>
            <w:tcW w:type="dxa" w:w="2400"/>
            <w:tcMar>
              <w:top w:type="dxa" w:w="60"/>
              <w:left w:type="dxa" w:w="80"/>
              <w:bottom w:type="dxa" w:w="60"/>
              <w:right w:type="dxa" w:w="80"/>
            </w:tcMar>
          </w:tcPr>
          <w:p>
            <w:r>
              <w:rPr>
                <w:b w:val="false"/>
                <w:bCs w:val="false"/>
                <w:sz w:val="17"/>
                <w:szCs w:val="17"/>
              </w:rPr>
              <w:t xml:space="preserve">NCIE-001; NCIE-002; NCIE-010.</w:t>
            </w:r>
          </w:p>
        </w:tc>
        <w:tc>
          <w:tcPr>
            <w:tcW w:type="dxa" w:w="2400"/>
            <w:tcMar>
              <w:top w:type="dxa" w:w="60"/>
              <w:left w:type="dxa" w:w="80"/>
              <w:bottom w:type="dxa" w:w="60"/>
              <w:right w:type="dxa" w:w="80"/>
            </w:tcMar>
          </w:tcPr>
          <w:p>
            <w:r>
              <w:rPr>
                <w:b w:val="false"/>
                <w:bCs w:val="false"/>
                <w:sz w:val="17"/>
                <w:szCs w:val="17"/>
              </w:rPr>
              <w:t xml:space="preserve">HR11-15-1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Domain data connectors; HR focus: standard vs bespoke connector classification.</w:t>
            </w:r>
          </w:p>
        </w:tc>
        <w:tc>
          <w:tcPr>
            <w:tcW w:type="dxa" w:w="2600"/>
            <w:tcMar>
              <w:top w:type="dxa" w:w="60"/>
              <w:left w:type="dxa" w:w="80"/>
              <w:bottom w:type="dxa" w:w="60"/>
              <w:right w:type="dxa" w:w="80"/>
            </w:tcMar>
          </w:tcPr>
          <w:p>
            <w:r>
              <w:rPr>
                <w:b w:val="false"/>
                <w:bCs w:val="false"/>
                <w:sz w:val="17"/>
                <w:szCs w:val="17"/>
              </w:rPr>
              <w:t xml:space="preserve">§16.0-16.2, Table 20 (RACI), HR11-16-1.</w:t>
            </w:r>
          </w:p>
        </w:tc>
        <w:tc>
          <w:tcPr>
            <w:tcW w:type="dxa" w:w="2400"/>
            <w:tcMar>
              <w:top w:type="dxa" w:w="60"/>
              <w:left w:type="dxa" w:w="80"/>
              <w:bottom w:type="dxa" w:w="60"/>
              <w:right w:type="dxa" w:w="80"/>
            </w:tcMar>
          </w:tcPr>
          <w:p>
            <w:r>
              <w:rPr>
                <w:b w:val="false"/>
                <w:bCs w:val="false"/>
                <w:sz w:val="17"/>
                <w:szCs w:val="17"/>
              </w:rPr>
              <w:t xml:space="preserve">NCIE-013 (downstream); NCIE-003.</w:t>
            </w:r>
          </w:p>
        </w:tc>
        <w:tc>
          <w:tcPr>
            <w:tcW w:type="dxa" w:w="2400"/>
            <w:tcMar>
              <w:top w:type="dxa" w:w="60"/>
              <w:left w:type="dxa" w:w="80"/>
              <w:bottom w:type="dxa" w:w="60"/>
              <w:right w:type="dxa" w:w="80"/>
            </w:tcMar>
          </w:tcPr>
          <w:p>
            <w:r>
              <w:rPr>
                <w:b w:val="false"/>
                <w:bCs w:val="false"/>
                <w:sz w:val="17"/>
                <w:szCs w:val="17"/>
              </w:rPr>
              <w:t xml:space="preserve">HR11-16-1 preserved verbatim, reclassified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Bulk file &amp; batch integration; HR focus: accepted transfer classes/thresholds.</w:t>
            </w:r>
          </w:p>
        </w:tc>
        <w:tc>
          <w:tcPr>
            <w:tcW w:type="dxa" w:w="2600"/>
            <w:tcMar>
              <w:top w:type="dxa" w:w="60"/>
              <w:left w:type="dxa" w:w="80"/>
              <w:bottom w:type="dxa" w:w="60"/>
              <w:right w:type="dxa" w:w="80"/>
            </w:tcMar>
          </w:tcPr>
          <w:p>
            <w:r>
              <w:rPr>
                <w:b w:val="false"/>
                <w:bCs w:val="false"/>
                <w:sz w:val="17"/>
                <w:szCs w:val="17"/>
              </w:rPr>
              <w:t xml:space="preserve">§17.0-17.2, Table 21 (RACI), HR11-17-1.</w:t>
            </w:r>
          </w:p>
        </w:tc>
        <w:tc>
          <w:tcPr>
            <w:tcW w:type="dxa" w:w="2400"/>
            <w:tcMar>
              <w:top w:type="dxa" w:w="60"/>
              <w:left w:type="dxa" w:w="80"/>
              <w:bottom w:type="dxa" w:w="60"/>
              <w:right w:type="dxa" w:w="80"/>
            </w:tcMar>
          </w:tcPr>
          <w:p>
            <w:r>
              <w:rPr>
                <w:b w:val="false"/>
                <w:bCs w:val="false"/>
                <w:sz w:val="17"/>
                <w:szCs w:val="17"/>
              </w:rPr>
              <w:t xml:space="preserve">NCIE-001; NCIE-003; NCIE-009.</w:t>
            </w:r>
          </w:p>
        </w:tc>
        <w:tc>
          <w:tcPr>
            <w:tcW w:type="dxa" w:w="2400"/>
            <w:tcMar>
              <w:top w:type="dxa" w:w="60"/>
              <w:left w:type="dxa" w:w="80"/>
              <w:bottom w:type="dxa" w:w="60"/>
              <w:right w:type="dxa" w:w="80"/>
            </w:tcMar>
          </w:tcPr>
          <w:p>
            <w:r>
              <w:rPr>
                <w:b w:val="false"/>
                <w:bCs w:val="false"/>
                <w:sz w:val="17"/>
                <w:szCs w:val="17"/>
              </w:rPr>
              <w:t xml:space="preserve">HR11-17-1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Event bus architecture &amp; event contract model; HR focus: event retention/replay policy.</w:t>
            </w:r>
          </w:p>
        </w:tc>
        <w:tc>
          <w:tcPr>
            <w:tcW w:type="dxa" w:w="2600"/>
            <w:tcMar>
              <w:top w:type="dxa" w:w="60"/>
              <w:left w:type="dxa" w:w="80"/>
              <w:bottom w:type="dxa" w:w="60"/>
              <w:right w:type="dxa" w:w="80"/>
            </w:tcMar>
          </w:tcPr>
          <w:p>
            <w:r>
              <w:rPr>
                <w:b w:val="false"/>
                <w:bCs w:val="false"/>
                <w:sz w:val="17"/>
                <w:szCs w:val="17"/>
              </w:rPr>
              <w:t xml:space="preserve">§18.0-18.3, Table 22 Event Contract Matrix (item 56), Table 23 (RACI), HR11-18-1.</w:t>
            </w:r>
          </w:p>
        </w:tc>
        <w:tc>
          <w:tcPr>
            <w:tcW w:type="dxa" w:w="2400"/>
            <w:tcMar>
              <w:top w:type="dxa" w:w="60"/>
              <w:left w:type="dxa" w:w="80"/>
              <w:bottom w:type="dxa" w:w="60"/>
              <w:right w:type="dxa" w:w="80"/>
            </w:tcMar>
          </w:tcPr>
          <w:p>
            <w:r>
              <w:rPr>
                <w:b w:val="false"/>
                <w:bCs w:val="false"/>
                <w:sz w:val="17"/>
                <w:szCs w:val="17"/>
              </w:rPr>
              <w:t xml:space="preserve">NCIE-002 Ch.25.2-25.5.</w:t>
            </w:r>
          </w:p>
        </w:tc>
        <w:tc>
          <w:tcPr>
            <w:tcW w:type="dxa" w:w="2400"/>
            <w:tcMar>
              <w:top w:type="dxa" w:w="60"/>
              <w:left w:type="dxa" w:w="80"/>
              <w:bottom w:type="dxa" w:w="60"/>
              <w:right w:type="dxa" w:w="80"/>
            </w:tcMar>
          </w:tcPr>
          <w:p>
            <w:r>
              <w:rPr>
                <w:b w:val="false"/>
                <w:bCs w:val="false"/>
                <w:sz w:val="17"/>
                <w:szCs w:val="17"/>
              </w:rPr>
              <w:t xml:space="preserve">HR11-18-1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Event categories &amp; domain event taxonomy; HR focus: additional event categories/ownership.</w:t>
            </w:r>
          </w:p>
        </w:tc>
        <w:tc>
          <w:tcPr>
            <w:tcW w:type="dxa" w:w="2600"/>
            <w:tcMar>
              <w:top w:type="dxa" w:w="60"/>
              <w:left w:type="dxa" w:w="80"/>
              <w:bottom w:type="dxa" w:w="60"/>
              <w:right w:type="dxa" w:w="80"/>
            </w:tcMar>
          </w:tcPr>
          <w:p>
            <w:r>
              <w:rPr>
                <w:b w:val="false"/>
                <w:bCs w:val="false"/>
                <w:sz w:val="17"/>
                <w:szCs w:val="17"/>
              </w:rPr>
              <w:t xml:space="preserve">§19.0-19.2, Table 24 (RACI), HR11-19-1.</w:t>
            </w:r>
          </w:p>
        </w:tc>
        <w:tc>
          <w:tcPr>
            <w:tcW w:type="dxa" w:w="2400"/>
            <w:tcMar>
              <w:top w:type="dxa" w:w="60"/>
              <w:left w:type="dxa" w:w="80"/>
              <w:bottom w:type="dxa" w:w="60"/>
              <w:right w:type="dxa" w:w="80"/>
            </w:tcMar>
          </w:tcPr>
          <w:p>
            <w:r>
              <w:rPr>
                <w:b w:val="false"/>
                <w:bCs w:val="false"/>
                <w:sz w:val="17"/>
                <w:szCs w:val="17"/>
              </w:rPr>
              <w:t xml:space="preserve">NCIE-002; NCIE-003/005/007/009/010.</w:t>
            </w:r>
          </w:p>
        </w:tc>
        <w:tc>
          <w:tcPr>
            <w:tcW w:type="dxa" w:w="2400"/>
            <w:tcMar>
              <w:top w:type="dxa" w:w="60"/>
              <w:left w:type="dxa" w:w="80"/>
              <w:bottom w:type="dxa" w:w="60"/>
              <w:right w:type="dxa" w:w="80"/>
            </w:tcMar>
          </w:tcPr>
          <w:p>
            <w:r>
              <w:rPr>
                <w:b w:val="false"/>
                <w:bCs w:val="false"/>
                <w:sz w:val="17"/>
                <w:szCs w:val="17"/>
              </w:rPr>
              <w:t xml:space="preserve">HR11-19-1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Schema registry &amp; contract versioning; HR focus: deprecation windows/compatibility authority.</w:t>
            </w:r>
          </w:p>
        </w:tc>
        <w:tc>
          <w:tcPr>
            <w:tcW w:type="dxa" w:w="2600"/>
            <w:tcMar>
              <w:top w:type="dxa" w:w="60"/>
              <w:left w:type="dxa" w:w="80"/>
              <w:bottom w:type="dxa" w:w="60"/>
              <w:right w:type="dxa" w:w="80"/>
            </w:tcMar>
          </w:tcPr>
          <w:p>
            <w:r>
              <w:rPr>
                <w:b w:val="false"/>
                <w:bCs w:val="false"/>
                <w:sz w:val="17"/>
                <w:szCs w:val="17"/>
              </w:rPr>
              <w:t xml:space="preserve">§20.0-20.2, Table 25 (RACI), HR11-20-1.</w:t>
            </w:r>
          </w:p>
        </w:tc>
        <w:tc>
          <w:tcPr>
            <w:tcW w:type="dxa" w:w="2400"/>
            <w:tcMar>
              <w:top w:type="dxa" w:w="60"/>
              <w:left w:type="dxa" w:w="80"/>
              <w:bottom w:type="dxa" w:w="60"/>
              <w:right w:type="dxa" w:w="80"/>
            </w:tcMar>
          </w:tcPr>
          <w:p>
            <w:r>
              <w:rPr>
                <w:b w:val="false"/>
                <w:bCs w:val="false"/>
                <w:sz w:val="17"/>
                <w:szCs w:val="17"/>
              </w:rPr>
              <w:t xml:space="preserve">NCIE-002 Ch.25.4; NCIE-003.</w:t>
            </w:r>
          </w:p>
        </w:tc>
        <w:tc>
          <w:tcPr>
            <w:tcW w:type="dxa" w:w="2400"/>
            <w:tcMar>
              <w:top w:type="dxa" w:w="60"/>
              <w:left w:type="dxa" w:w="80"/>
              <w:bottom w:type="dxa" w:w="60"/>
              <w:right w:type="dxa" w:w="80"/>
            </w:tcMar>
          </w:tcPr>
          <w:p>
            <w:r>
              <w:rPr>
                <w:b w:val="false"/>
                <w:bCs w:val="false"/>
                <w:sz w:val="17"/>
                <w:szCs w:val="17"/>
              </w:rPr>
              <w:t xml:space="preserve">HR11-20-1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Correlation, causation &amp; trace propagation; HR focus: cross-boundary trace-propagation limits.</w:t>
            </w:r>
          </w:p>
        </w:tc>
        <w:tc>
          <w:tcPr>
            <w:tcW w:type="dxa" w:w="2600"/>
            <w:tcMar>
              <w:top w:type="dxa" w:w="60"/>
              <w:left w:type="dxa" w:w="80"/>
              <w:bottom w:type="dxa" w:w="60"/>
              <w:right w:type="dxa" w:w="80"/>
            </w:tcMar>
          </w:tcPr>
          <w:p>
            <w:r>
              <w:rPr>
                <w:b w:val="false"/>
                <w:bCs w:val="false"/>
                <w:sz w:val="17"/>
                <w:szCs w:val="17"/>
              </w:rPr>
              <w:t xml:space="preserve">§21.0-21.2, Table 26 (RACI), HR11-21-1.</w:t>
            </w:r>
          </w:p>
        </w:tc>
        <w:tc>
          <w:tcPr>
            <w:tcW w:type="dxa" w:w="2400"/>
            <w:tcMar>
              <w:top w:type="dxa" w:w="60"/>
              <w:left w:type="dxa" w:w="80"/>
              <w:bottom w:type="dxa" w:w="60"/>
              <w:right w:type="dxa" w:w="80"/>
            </w:tcMar>
          </w:tcPr>
          <w:p>
            <w:r>
              <w:rPr>
                <w:b w:val="false"/>
                <w:bCs w:val="false"/>
                <w:sz w:val="17"/>
                <w:szCs w:val="17"/>
              </w:rPr>
              <w:t xml:space="preserve">NCIE-002; NCIE-003; NCIE-010.</w:t>
            </w:r>
          </w:p>
        </w:tc>
        <w:tc>
          <w:tcPr>
            <w:tcW w:type="dxa" w:w="2400"/>
            <w:tcMar>
              <w:top w:type="dxa" w:w="60"/>
              <w:left w:type="dxa" w:w="80"/>
              <w:bottom w:type="dxa" w:w="60"/>
              <w:right w:type="dxa" w:w="80"/>
            </w:tcMar>
          </w:tcPr>
          <w:p>
            <w:r>
              <w:rPr>
                <w:b w:val="false"/>
                <w:bCs w:val="false"/>
                <w:sz w:val="17"/>
                <w:szCs w:val="17"/>
              </w:rPr>
              <w:t xml:space="preserve">HR11-21-1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Idempotency, duplicate suppression &amp; safe retry; HR focus: mandatory idempotency-key classes.</w:t>
            </w:r>
          </w:p>
        </w:tc>
        <w:tc>
          <w:tcPr>
            <w:tcW w:type="dxa" w:w="2600"/>
            <w:tcMar>
              <w:top w:type="dxa" w:w="60"/>
              <w:left w:type="dxa" w:w="80"/>
              <w:bottom w:type="dxa" w:w="60"/>
              <w:right w:type="dxa" w:w="80"/>
            </w:tcMar>
          </w:tcPr>
          <w:p>
            <w:r>
              <w:rPr>
                <w:b w:val="false"/>
                <w:bCs w:val="false"/>
                <w:sz w:val="17"/>
                <w:szCs w:val="17"/>
              </w:rPr>
              <w:t xml:space="preserve">§22.0-22.2, Table 27 (RACI), HR11-22-1.</w:t>
            </w:r>
          </w:p>
        </w:tc>
        <w:tc>
          <w:tcPr>
            <w:tcW w:type="dxa" w:w="2400"/>
            <w:tcMar>
              <w:top w:type="dxa" w:w="60"/>
              <w:left w:type="dxa" w:w="80"/>
              <w:bottom w:type="dxa" w:w="60"/>
              <w:right w:type="dxa" w:w="80"/>
            </w:tcMar>
          </w:tcPr>
          <w:p>
            <w:r>
              <w:rPr>
                <w:b w:val="false"/>
                <w:bCs w:val="false"/>
                <w:sz w:val="17"/>
                <w:szCs w:val="17"/>
              </w:rPr>
              <w:t xml:space="preserve">NCIE-002; NCIE-007.</w:t>
            </w:r>
          </w:p>
        </w:tc>
        <w:tc>
          <w:tcPr>
            <w:tcW w:type="dxa" w:w="2400"/>
            <w:tcMar>
              <w:top w:type="dxa" w:w="60"/>
              <w:left w:type="dxa" w:w="80"/>
              <w:bottom w:type="dxa" w:w="60"/>
              <w:right w:type="dxa" w:w="80"/>
            </w:tcMar>
          </w:tcPr>
          <w:p>
            <w:r>
              <w:rPr>
                <w:b w:val="false"/>
                <w:bCs w:val="false"/>
                <w:sz w:val="17"/>
                <w:szCs w:val="17"/>
              </w:rPr>
              <w:t xml:space="preserve">HR11-22-1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Asynchronous operations &amp; long-running workflows; HR focus: status vocabulary/cancellation guarantees.</w:t>
            </w:r>
          </w:p>
        </w:tc>
        <w:tc>
          <w:tcPr>
            <w:tcW w:type="dxa" w:w="2600"/>
            <w:tcMar>
              <w:top w:type="dxa" w:w="60"/>
              <w:left w:type="dxa" w:w="80"/>
              <w:bottom w:type="dxa" w:w="60"/>
              <w:right w:type="dxa" w:w="80"/>
            </w:tcMar>
          </w:tcPr>
          <w:p>
            <w:r>
              <w:rPr>
                <w:b w:val="false"/>
                <w:bCs w:val="false"/>
                <w:sz w:val="17"/>
                <w:szCs w:val="17"/>
              </w:rPr>
              <w:t xml:space="preserve">§23.0-23.2, Table 28 Asynchronous-State Matrix (item 59), Table 29 (RACI), HR11-23-1.</w:t>
            </w:r>
          </w:p>
        </w:tc>
        <w:tc>
          <w:tcPr>
            <w:tcW w:type="dxa" w:w="2400"/>
            <w:tcMar>
              <w:top w:type="dxa" w:w="60"/>
              <w:left w:type="dxa" w:w="80"/>
              <w:bottom w:type="dxa" w:w="60"/>
              <w:right w:type="dxa" w:w="80"/>
            </w:tcMar>
          </w:tcPr>
          <w:p>
            <w:r>
              <w:rPr>
                <w:b w:val="false"/>
                <w:bCs w:val="false"/>
                <w:sz w:val="17"/>
                <w:szCs w:val="17"/>
              </w:rPr>
              <w:t xml:space="preserve">NCIE-002; NCIE-004/007.</w:t>
            </w:r>
          </w:p>
        </w:tc>
        <w:tc>
          <w:tcPr>
            <w:tcW w:type="dxa" w:w="2400"/>
            <w:tcMar>
              <w:top w:type="dxa" w:w="60"/>
              <w:left w:type="dxa" w:w="80"/>
              <w:bottom w:type="dxa" w:w="60"/>
              <w:right w:type="dxa" w:w="80"/>
            </w:tcMar>
          </w:tcPr>
          <w:p>
            <w:r>
              <w:rPr>
                <w:b w:val="false"/>
                <w:bCs w:val="false"/>
                <w:sz w:val="17"/>
                <w:szCs w:val="17"/>
              </w:rPr>
              <w:t xml:space="preserve">HR11-23-1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Webhook &amp; callback interfaces; HR focus: allowed consumers/retry-deactivation policy.</w:t>
            </w:r>
          </w:p>
        </w:tc>
        <w:tc>
          <w:tcPr>
            <w:tcW w:type="dxa" w:w="2600"/>
            <w:tcMar>
              <w:top w:type="dxa" w:w="60"/>
              <w:left w:type="dxa" w:w="80"/>
              <w:bottom w:type="dxa" w:w="60"/>
              <w:right w:type="dxa" w:w="80"/>
            </w:tcMar>
          </w:tcPr>
          <w:p>
            <w:r>
              <w:rPr>
                <w:b w:val="false"/>
                <w:bCs w:val="false"/>
                <w:sz w:val="17"/>
                <w:szCs w:val="17"/>
              </w:rPr>
              <w:t xml:space="preserve">§24.0-24.2, Table 30 (RACI), HR11-24-1.</w:t>
            </w:r>
          </w:p>
        </w:tc>
        <w:tc>
          <w:tcPr>
            <w:tcW w:type="dxa" w:w="2400"/>
            <w:tcMar>
              <w:top w:type="dxa" w:w="60"/>
              <w:left w:type="dxa" w:w="80"/>
              <w:bottom w:type="dxa" w:w="60"/>
              <w:right w:type="dxa" w:w="80"/>
            </w:tcMar>
          </w:tcPr>
          <w:p>
            <w:r>
              <w:rPr>
                <w:b w:val="false"/>
                <w:bCs w:val="false"/>
                <w:sz w:val="17"/>
                <w:szCs w:val="17"/>
              </w:rPr>
              <w:t xml:space="preserve">NCIE-002; NCIE-009.</w:t>
            </w:r>
          </w:p>
        </w:tc>
        <w:tc>
          <w:tcPr>
            <w:tcW w:type="dxa" w:w="2400"/>
            <w:tcMar>
              <w:top w:type="dxa" w:w="60"/>
              <w:left w:type="dxa" w:w="80"/>
              <w:bottom w:type="dxa" w:w="60"/>
              <w:right w:type="dxa" w:w="80"/>
            </w:tcMar>
          </w:tcPr>
          <w:p>
            <w:r>
              <w:rPr>
                <w:b w:val="false"/>
                <w:bCs w:val="false"/>
                <w:sz w:val="17"/>
                <w:szCs w:val="17"/>
              </w:rPr>
              <w:t xml:space="preserve">HR11-24-1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Error semantics &amp; failure taxonomy; HR focus: public vs internal error-detail exposure.</w:t>
            </w:r>
          </w:p>
        </w:tc>
        <w:tc>
          <w:tcPr>
            <w:tcW w:type="dxa" w:w="2600"/>
            <w:tcMar>
              <w:top w:type="dxa" w:w="60"/>
              <w:left w:type="dxa" w:w="80"/>
              <w:bottom w:type="dxa" w:w="60"/>
              <w:right w:type="dxa" w:w="80"/>
            </w:tcMar>
          </w:tcPr>
          <w:p>
            <w:r>
              <w:rPr>
                <w:b w:val="false"/>
                <w:bCs w:val="false"/>
                <w:sz w:val="17"/>
                <w:szCs w:val="17"/>
              </w:rPr>
              <w:t xml:space="preserve">§25.0-25.2, Table 31 Error-State Matrix (item 58), Table 32 (RACI), HR11-25-1.</w:t>
            </w:r>
          </w:p>
        </w:tc>
        <w:tc>
          <w:tcPr>
            <w:tcW w:type="dxa" w:w="2400"/>
            <w:tcMar>
              <w:top w:type="dxa" w:w="60"/>
              <w:left w:type="dxa" w:w="80"/>
              <w:bottom w:type="dxa" w:w="60"/>
              <w:right w:type="dxa" w:w="80"/>
            </w:tcMar>
          </w:tcPr>
          <w:p>
            <w:r>
              <w:rPr>
                <w:b w:val="false"/>
                <w:bCs w:val="false"/>
                <w:sz w:val="17"/>
                <w:szCs w:val="17"/>
              </w:rPr>
              <w:t xml:space="preserve">NCIE-002; NCIE-005; NCIE-007.</w:t>
            </w:r>
          </w:p>
        </w:tc>
        <w:tc>
          <w:tcPr>
            <w:tcW w:type="dxa" w:w="2400"/>
            <w:tcMar>
              <w:top w:type="dxa" w:w="60"/>
              <w:left w:type="dxa" w:w="80"/>
              <w:bottom w:type="dxa" w:w="60"/>
              <w:right w:type="dxa" w:w="80"/>
            </w:tcMar>
          </w:tcPr>
          <w:p>
            <w:r>
              <w:rPr>
                <w:b w:val="false"/>
                <w:bCs w:val="false"/>
                <w:sz w:val="17"/>
                <w:szCs w:val="17"/>
              </w:rPr>
              <w:t xml:space="preserve">HR11-25-1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Rate limits, quotas &amp; backpressure; HR focus: quota ownership/exception governance.</w:t>
            </w:r>
          </w:p>
        </w:tc>
        <w:tc>
          <w:tcPr>
            <w:tcW w:type="dxa" w:w="2600"/>
            <w:tcMar>
              <w:top w:type="dxa" w:w="60"/>
              <w:left w:type="dxa" w:w="80"/>
              <w:bottom w:type="dxa" w:w="60"/>
              <w:right w:type="dxa" w:w="80"/>
            </w:tcMar>
          </w:tcPr>
          <w:p>
            <w:r>
              <w:rPr>
                <w:b w:val="false"/>
                <w:bCs w:val="false"/>
                <w:sz w:val="17"/>
                <w:szCs w:val="17"/>
              </w:rPr>
              <w:t xml:space="preserve">§26.0-26.2, Table 33 (RACI), HR11-26-1.</w:t>
            </w:r>
          </w:p>
        </w:tc>
        <w:tc>
          <w:tcPr>
            <w:tcW w:type="dxa" w:w="2400"/>
            <w:tcMar>
              <w:top w:type="dxa" w:w="60"/>
              <w:left w:type="dxa" w:w="80"/>
              <w:bottom w:type="dxa" w:w="60"/>
              <w:right w:type="dxa" w:w="80"/>
            </w:tcMar>
          </w:tcPr>
          <w:p>
            <w:r>
              <w:rPr>
                <w:b w:val="false"/>
                <w:bCs w:val="false"/>
                <w:sz w:val="17"/>
                <w:szCs w:val="17"/>
              </w:rPr>
              <w:t xml:space="preserve">NCIE-002 NFRs; NCIE-004; NCIE-009.</w:t>
            </w:r>
          </w:p>
        </w:tc>
        <w:tc>
          <w:tcPr>
            <w:tcW w:type="dxa" w:w="2400"/>
            <w:tcMar>
              <w:top w:type="dxa" w:w="60"/>
              <w:left w:type="dxa" w:w="80"/>
              <w:bottom w:type="dxa" w:w="60"/>
              <w:right w:type="dxa" w:w="80"/>
            </w:tcMar>
          </w:tcPr>
          <w:p>
            <w:r>
              <w:rPr>
                <w:b w:val="false"/>
                <w:bCs w:val="false"/>
                <w:sz w:val="17"/>
                <w:szCs w:val="17"/>
              </w:rPr>
              <w:t xml:space="preserve">HR11-26-1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Integration security &amp; Zero-Trust enforcement; HR focus: high-risk API surfaces.</w:t>
            </w:r>
          </w:p>
        </w:tc>
        <w:tc>
          <w:tcPr>
            <w:tcW w:type="dxa" w:w="2600"/>
            <w:tcMar>
              <w:top w:type="dxa" w:w="60"/>
              <w:left w:type="dxa" w:w="80"/>
              <w:bottom w:type="dxa" w:w="60"/>
              <w:right w:type="dxa" w:w="80"/>
            </w:tcMar>
          </w:tcPr>
          <w:p>
            <w:r>
              <w:rPr>
                <w:b w:val="false"/>
                <w:bCs w:val="false"/>
                <w:sz w:val="17"/>
                <w:szCs w:val="17"/>
              </w:rPr>
              <w:t xml:space="preserve">§27.0-27.2, Table 34 API Authorization Matrix (item 55), Table 35 (RACI), HR11-27-1.</w:t>
            </w:r>
          </w:p>
        </w:tc>
        <w:tc>
          <w:tcPr>
            <w:tcW w:type="dxa" w:w="2400"/>
            <w:tcMar>
              <w:top w:type="dxa" w:w="60"/>
              <w:left w:type="dxa" w:w="80"/>
              <w:bottom w:type="dxa" w:w="60"/>
              <w:right w:type="dxa" w:w="80"/>
            </w:tcMar>
          </w:tcPr>
          <w:p>
            <w:r>
              <w:rPr>
                <w:b w:val="false"/>
                <w:bCs w:val="false"/>
                <w:sz w:val="17"/>
                <w:szCs w:val="17"/>
              </w:rPr>
              <w:t xml:space="preserve">NCIE-009 Ch.5-6, 16.</w:t>
            </w:r>
          </w:p>
        </w:tc>
        <w:tc>
          <w:tcPr>
            <w:tcW w:type="dxa" w:w="2400"/>
            <w:tcMar>
              <w:top w:type="dxa" w:w="60"/>
              <w:left w:type="dxa" w:w="80"/>
              <w:bottom w:type="dxa" w:w="60"/>
              <w:right w:type="dxa" w:w="80"/>
            </w:tcMar>
          </w:tcPr>
          <w:p>
            <w:r>
              <w:rPr>
                <w:b w:val="false"/>
                <w:bCs w:val="false"/>
                <w:sz w:val="17"/>
                <w:szCs w:val="17"/>
              </w:rPr>
              <w:t xml:space="preserve">HR11-27-1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Contract observability, audit &amp; SLO interface; HR focus: SLO ownership/alert escalation.</w:t>
            </w:r>
          </w:p>
        </w:tc>
        <w:tc>
          <w:tcPr>
            <w:tcW w:type="dxa" w:w="2600"/>
            <w:tcMar>
              <w:top w:type="dxa" w:w="60"/>
              <w:left w:type="dxa" w:w="80"/>
              <w:bottom w:type="dxa" w:w="60"/>
              <w:right w:type="dxa" w:w="80"/>
            </w:tcMar>
          </w:tcPr>
          <w:p>
            <w:r>
              <w:rPr>
                <w:b w:val="false"/>
                <w:bCs w:val="false"/>
                <w:sz w:val="17"/>
                <w:szCs w:val="17"/>
              </w:rPr>
              <w:t xml:space="preserve">§28.0-28.2, Table 36 (RACI), HR11-28-1.</w:t>
            </w:r>
          </w:p>
        </w:tc>
        <w:tc>
          <w:tcPr>
            <w:tcW w:type="dxa" w:w="2400"/>
            <w:tcMar>
              <w:top w:type="dxa" w:w="60"/>
              <w:left w:type="dxa" w:w="80"/>
              <w:bottom w:type="dxa" w:w="60"/>
              <w:right w:type="dxa" w:w="80"/>
            </w:tcMar>
          </w:tcPr>
          <w:p>
            <w:r>
              <w:rPr>
                <w:b w:val="false"/>
                <w:bCs w:val="false"/>
                <w:sz w:val="17"/>
                <w:szCs w:val="17"/>
              </w:rPr>
              <w:t xml:space="preserve">NCIE-004; NCIE-009; NCIE-010.</w:t>
            </w:r>
          </w:p>
        </w:tc>
        <w:tc>
          <w:tcPr>
            <w:tcW w:type="dxa" w:w="2400"/>
            <w:tcMar>
              <w:top w:type="dxa" w:w="60"/>
              <w:left w:type="dxa" w:w="80"/>
              <w:bottom w:type="dxa" w:w="60"/>
              <w:right w:type="dxa" w:w="80"/>
            </w:tcMar>
          </w:tcPr>
          <w:p>
            <w:r>
              <w:rPr>
                <w:b w:val="false"/>
                <w:bCs w:val="false"/>
                <w:sz w:val="17"/>
                <w:szCs w:val="17"/>
              </w:rPr>
              <w:t xml:space="preserve">HR11-28-1 preserved verbatim, reclassified ENGINEERING/INFRASTRUCTURE DISCOVERY REQUIRED,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Degraded integration, buffering &amp; reconciliation; HR focus: buffering/replay tolerances.</w:t>
            </w:r>
          </w:p>
        </w:tc>
        <w:tc>
          <w:tcPr>
            <w:tcW w:type="dxa" w:w="2600"/>
            <w:tcMar>
              <w:top w:type="dxa" w:w="60"/>
              <w:left w:type="dxa" w:w="80"/>
              <w:bottom w:type="dxa" w:w="60"/>
              <w:right w:type="dxa" w:w="80"/>
            </w:tcMar>
          </w:tcPr>
          <w:p>
            <w:r>
              <w:rPr>
                <w:b w:val="false"/>
                <w:bCs w:val="false"/>
                <w:sz w:val="17"/>
                <w:szCs w:val="17"/>
              </w:rPr>
              <w:t xml:space="preserve">§29.0-29.2, Table 37 (RACI), HR11-29-1.</w:t>
            </w:r>
          </w:p>
        </w:tc>
        <w:tc>
          <w:tcPr>
            <w:tcW w:type="dxa" w:w="2400"/>
            <w:tcMar>
              <w:top w:type="dxa" w:w="60"/>
              <w:left w:type="dxa" w:w="80"/>
              <w:bottom w:type="dxa" w:w="60"/>
              <w:right w:type="dxa" w:w="80"/>
            </w:tcMar>
          </w:tcPr>
          <w:p>
            <w:r>
              <w:rPr>
                <w:b w:val="false"/>
                <w:bCs w:val="false"/>
                <w:sz w:val="17"/>
                <w:szCs w:val="17"/>
              </w:rPr>
              <w:t xml:space="preserve">NCIE-002 Ch.25.7; NCIE-004; NCIE-010.</w:t>
            </w:r>
          </w:p>
        </w:tc>
        <w:tc>
          <w:tcPr>
            <w:tcW w:type="dxa" w:w="2400"/>
            <w:tcMar>
              <w:top w:type="dxa" w:w="60"/>
              <w:left w:type="dxa" w:w="80"/>
              <w:bottom w:type="dxa" w:w="60"/>
              <w:right w:type="dxa" w:w="80"/>
            </w:tcMar>
          </w:tcPr>
          <w:p>
            <w:r>
              <w:rPr>
                <w:b w:val="false"/>
                <w:bCs w:val="false"/>
                <w:sz w:val="17"/>
                <w:szCs w:val="17"/>
              </w:rPr>
              <w:t xml:space="preserve">HR11-29-1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API/integration testing &amp; contract verification; HR focus: test acceptance/partner certification.</w:t>
            </w:r>
          </w:p>
        </w:tc>
        <w:tc>
          <w:tcPr>
            <w:tcW w:type="dxa" w:w="2600"/>
            <w:tcMar>
              <w:top w:type="dxa" w:w="60"/>
              <w:left w:type="dxa" w:w="80"/>
              <w:bottom w:type="dxa" w:w="60"/>
              <w:right w:type="dxa" w:w="80"/>
            </w:tcMar>
          </w:tcPr>
          <w:p>
            <w:r>
              <w:rPr>
                <w:b w:val="false"/>
                <w:bCs w:val="false"/>
                <w:sz w:val="17"/>
                <w:szCs w:val="17"/>
              </w:rPr>
              <w:t xml:space="preserve">§30.0-30.2, Table 38 (8 test classes, directive item 50), Table 39 (RACI), HR11-30-1.</w:t>
            </w:r>
          </w:p>
        </w:tc>
        <w:tc>
          <w:tcPr>
            <w:tcW w:type="dxa" w:w="2400"/>
            <w:tcMar>
              <w:top w:type="dxa" w:w="60"/>
              <w:left w:type="dxa" w:w="80"/>
              <w:bottom w:type="dxa" w:w="60"/>
              <w:right w:type="dxa" w:w="80"/>
            </w:tcMar>
          </w:tcPr>
          <w:p>
            <w:r>
              <w:rPr>
                <w:b w:val="false"/>
                <w:bCs w:val="false"/>
                <w:sz w:val="17"/>
                <w:szCs w:val="17"/>
              </w:rPr>
              <w:t xml:space="preserve">NCIE-002; NCIE-009; NCIE-016 (downstream).</w:t>
            </w:r>
          </w:p>
        </w:tc>
        <w:tc>
          <w:tcPr>
            <w:tcW w:type="dxa" w:w="2400"/>
            <w:tcMar>
              <w:top w:type="dxa" w:w="60"/>
              <w:left w:type="dxa" w:w="80"/>
              <w:bottom w:type="dxa" w:w="60"/>
              <w:right w:type="dxa" w:w="80"/>
            </w:tcMar>
          </w:tcPr>
          <w:p>
            <w:r>
              <w:rPr>
                <w:b w:val="false"/>
                <w:bCs w:val="false"/>
                <w:sz w:val="17"/>
                <w:szCs w:val="17"/>
              </w:rPr>
              <w:t xml:space="preserve">HR11-30-1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Human Review Register &amp; open integration decisions; HR focus: review/decide register items.</w:t>
            </w:r>
          </w:p>
        </w:tc>
        <w:tc>
          <w:tcPr>
            <w:tcW w:type="dxa" w:w="2600"/>
            <w:tcMar>
              <w:top w:type="dxa" w:w="60"/>
              <w:left w:type="dxa" w:w="80"/>
              <w:bottom w:type="dxa" w:w="60"/>
              <w:right w:type="dxa" w:w="80"/>
            </w:tcMar>
          </w:tcPr>
          <w:p>
            <w:r>
              <w:rPr>
                <w:b w:val="false"/>
                <w:bCs w:val="false"/>
                <w:sz w:val="17"/>
                <w:szCs w:val="17"/>
              </w:rPr>
              <w:t xml:space="preserve">§31.0-31.6, Table 40 (summary), Table 41 (complete register, 32 items), HR11-31-1.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60); approved Skeletal v0.1 Chapter 31 Salient Things to Note.</w:t>
            </w:r>
          </w:p>
        </w:tc>
        <w:tc>
          <w:tcPr>
            <w:tcW w:type="dxa" w:w="2400"/>
            <w:tcMar>
              <w:top w:type="dxa" w:w="60"/>
              <w:left w:type="dxa" w:w="80"/>
              <w:bottom w:type="dxa" w:w="60"/>
              <w:right w:type="dxa" w:w="80"/>
            </w:tcMar>
          </w:tcPr>
          <w:p>
            <w:r>
              <w:rPr>
                <w:b w:val="false"/>
                <w:bCs w:val="false"/>
                <w:sz w:val="17"/>
                <w:szCs w:val="17"/>
              </w:rPr>
              <w:t xml:space="preserve">HR11-31-1 (this chapter's own item) included in Table 41 and totals from the start — the NCIE-008 register-reconciliation defect and NCIE-009 salient-note omission were both designed around, not repeated. All 32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§32.0-32.6, Table 42 (traceability matrix, 32 rows), Table 43 (downstream handover, 5 rows), HR11-32-1.</w:t>
            </w:r>
          </w:p>
        </w:tc>
        <w:tc>
          <w:tcPr>
            <w:tcW w:type="dxa" w:w="2400"/>
            <w:tcMar>
              <w:top w:type="dxa" w:w="60"/>
              <w:left w:type="dxa" w:w="80"/>
              <w:bottom w:type="dxa" w:w="60"/>
              <w:right w:type="dxa" w:w="80"/>
            </w:tcMar>
          </w:tcPr>
          <w:p>
            <w:r>
              <w:rPr>
                <w:b w:val="false"/>
                <w:bCs w:val="false"/>
                <w:sz w:val="17"/>
                <w:szCs w:val="17"/>
              </w:rPr>
              <w:t xml:space="preserve">Approved NCIE-001-010; approved NCIE-011 Skeletal v0.1.</w:t>
            </w:r>
          </w:p>
        </w:tc>
        <w:tc>
          <w:tcPr>
            <w:tcW w:type="dxa" w:w="2400"/>
            <w:tcMar>
              <w:top w:type="dxa" w:w="60"/>
              <w:left w:type="dxa" w:w="80"/>
              <w:bottom w:type="dxa" w:w="60"/>
              <w:right w:type="dxa" w:w="80"/>
            </w:tcMar>
          </w:tcPr>
          <w:p>
            <w:r>
              <w:rPr>
                <w:b w:val="false"/>
                <w:bCs w:val="false"/>
                <w:sz w:val="17"/>
                <w:szCs w:val="17"/>
              </w:rPr>
              <w:t xml:space="preserve">HR11-32-1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53-59)</w:t>
      </w:r>
    </w:p>
    <w:p>
      <w:pPr>
        <w:spacing w:after="200"/>
      </w:pPr>
      <w:r>
        <w:rPr>
          <w:sz w:val="19"/>
          <w:szCs w:val="19"/>
        </w:rPr>
        <w:t xml:space="preserve">Table 4 (Chapter 3) — Interface Catalogue Matrix, covering every interface class defined in this document. Table 5 (Chapter 3) — Service Contract Matrix. Table 18 (Chapter 15) — Connector Matrix. Table 22 (Chapter 18) — Event Contract Matrix. Table 28 (Chapter 23) — Asynchronous-State Matrix. Table 31 (Chapter 25) — Error-State Matrix. Table 34 (Chapter 27) — API Authorization Matrix.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32 Human Review items total: 30 items from Chapters 1-30 (one per chapter, mechanically extracted from each chapter's own Human Review Focus bullet text), plus HR11-31-1 (Chapter 31's own item) and HR11-32-1 (Chapter 32's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19 Institutional Confirmation Required, 5 Security/Sovereignty Confirmation Required, 1 Legal/Policy Confirmation Required, 6 Engineering/Infrastructure Discovery Required, 1 Resolved by Upstream Baseline. 24 Blocking / 8 Non-Blocking. One item, HR11-1-1, is cross-referenced (not duplicated) against the identical institutional question already open as NCIE-008 HR8-10-1, per directive item 61's upstream-deduplication rule. No item manufactures closure of a decision the approved skeleton, the approved NCIE-008/009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NCIE-011 Skeletal v0.1 is substantively represented in the corresponding v1.0 chapter above, including an explicit Salient Things to Note subsection in all 32 chapters — independently re-verified against the final assembled document by a programmatic scan (directive item 75), not assumed from the build script; none is omitted and none is conceptually inverted (Chapter 32 §32.3).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2026-09-15T07:34:51.948Z</dcterms:created>
  <dcterms:modified xsi:type="dcterms:W3CDTF">2026-09-15T07:34:51.959Z</dcterms:modified>
</cp:coreProperties>
</file>

<file path=docProps/custom.xml><?xml version="1.0" encoding="utf-8"?>
<Properties xmlns="http://schemas.openxmlformats.org/officeDocument/2006/custom-properties" xmlns:vt="http://schemas.openxmlformats.org/officeDocument/2006/docPropsVTypes"/>
</file>