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NCIE-012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UX/UI &amp; Design System Specification — IN DEVELOPMENT / FOR HUMAN REVIEW</w:t>
      </w:r>
    </w:p>
    <w:p>
      <w:pPr>
        <w:spacing w:after="200"/>
      </w:pPr>
      <w:r>
        <w:rPr>
          <w:sz w:val="19"/>
          <w:szCs w:val="19"/>
        </w:rPr>
        <w:t xml:space="preserve">Maps each of the 37 approved NCIE-012 Skeletal v0.1 chapters to its expanded v1.0 location, states the authority basis for the expansion, and records the effect on that chapter's Human Review Focus item. No chapter was added, removed, merged, split or renumbered; every approved chapter purpose, Salient Things to Note, principal component, upstream dependency and Human Review focus is substantively represented below, including an explicit Salient Things to Note subsection in all 37 chapters (directive item 79 hard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UX boundary; HR focus: acceptance authority.</w:t>
            </w:r>
          </w:p>
        </w:tc>
        <w:tc>
          <w:tcPr>
            <w:tcW w:type="dxa" w:w="2600"/>
            <w:tcMar>
              <w:top w:type="dxa" w:w="60"/>
              <w:left w:type="dxa" w:w="80"/>
              <w:bottom w:type="dxa" w:w="60"/>
              <w:right w:type="dxa" w:w="80"/>
            </w:tcMar>
          </w:tcPr>
          <w:p>
            <w:r>
              <w:rPr>
                <w:b w:val="false"/>
                <w:bCs w:val="false"/>
                <w:sz w:val="17"/>
                <w:szCs w:val="17"/>
              </w:rPr>
              <w:t xml:space="preserve">§1.0-1.3, Table 1 (boundary), Table 2 (RACI), HR12-1-1.</w:t>
            </w:r>
          </w:p>
        </w:tc>
        <w:tc>
          <w:tcPr>
            <w:tcW w:type="dxa" w:w="2400"/>
            <w:tcMar>
              <w:top w:type="dxa" w:w="60"/>
              <w:left w:type="dxa" w:w="80"/>
              <w:bottom w:type="dxa" w:w="60"/>
              <w:right w:type="dxa" w:w="80"/>
            </w:tcMar>
          </w:tcPr>
          <w:p>
            <w:r>
              <w:rPr>
                <w:b w:val="false"/>
                <w:bCs w:val="false"/>
                <w:sz w:val="17"/>
                <w:szCs w:val="17"/>
              </w:rPr>
              <w:t xml:space="preserve">NCIE-001-011 approved foundation.</w:t>
            </w:r>
          </w:p>
        </w:tc>
        <w:tc>
          <w:tcPr>
            <w:tcW w:type="dxa" w:w="2400"/>
            <w:tcMar>
              <w:top w:type="dxa" w:w="60"/>
              <w:left w:type="dxa" w:w="80"/>
              <w:bottom w:type="dxa" w:w="60"/>
              <w:right w:type="dxa" w:w="80"/>
            </w:tcMar>
          </w:tcPr>
          <w:p>
            <w:r>
              <w:rPr>
                <w:b w:val="false"/>
                <w:bCs w:val="false"/>
                <w:sz w:val="17"/>
                <w:szCs w:val="17"/>
              </w:rPr>
              <w:t xml:space="preserve">HR12-1-1 cross-referenced to NCIE-008 HR8-10-1 (directive item 66 dedup).</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Human-centred UX doctrine &amp; interaction principles; HR focus: institution-specific UX principles.</w:t>
            </w:r>
          </w:p>
        </w:tc>
        <w:tc>
          <w:tcPr>
            <w:tcW w:type="dxa" w:w="2600"/>
            <w:tcMar>
              <w:top w:type="dxa" w:w="60"/>
              <w:left w:type="dxa" w:w="80"/>
              <w:bottom w:type="dxa" w:w="60"/>
              <w:right w:type="dxa" w:w="80"/>
            </w:tcMar>
          </w:tcPr>
          <w:p>
            <w:r>
              <w:rPr>
                <w:b w:val="false"/>
                <w:bCs w:val="false"/>
                <w:sz w:val="17"/>
                <w:szCs w:val="17"/>
              </w:rPr>
              <w:t xml:space="preserve">§2.0-2.3, Table 3 UX State Matrix (item 58), Table 4 (RACI), HR12-2-1.</w:t>
            </w:r>
          </w:p>
        </w:tc>
        <w:tc>
          <w:tcPr>
            <w:tcW w:type="dxa" w:w="2400"/>
            <w:tcMar>
              <w:top w:type="dxa" w:w="60"/>
              <w:left w:type="dxa" w:w="80"/>
              <w:bottom w:type="dxa" w:w="60"/>
              <w:right w:type="dxa" w:w="80"/>
            </w:tcMar>
          </w:tcPr>
          <w:p>
            <w:r>
              <w:rPr>
                <w:b w:val="false"/>
                <w:bCs w:val="false"/>
                <w:sz w:val="17"/>
                <w:szCs w:val="17"/>
              </w:rPr>
              <w:t xml:space="preserve">NCIE-001; NCIE-005; NCIE-008.</w:t>
            </w:r>
          </w:p>
        </w:tc>
        <w:tc>
          <w:tcPr>
            <w:tcW w:type="dxa" w:w="2400"/>
            <w:tcMar>
              <w:top w:type="dxa" w:w="60"/>
              <w:left w:type="dxa" w:w="80"/>
              <w:bottom w:type="dxa" w:w="60"/>
              <w:right w:type="dxa" w:w="80"/>
            </w:tcMar>
          </w:tcPr>
          <w:p>
            <w:r>
              <w:rPr>
                <w:b w:val="false"/>
                <w:bCs w:val="false"/>
                <w:sz w:val="17"/>
                <w:szCs w:val="17"/>
              </w:rPr>
              <w:t xml:space="preserve">HR12-2-1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User roles, personas &amp; workspace needs; HR focus: persona set/representative-user groups.</w:t>
            </w:r>
          </w:p>
        </w:tc>
        <w:tc>
          <w:tcPr>
            <w:tcW w:type="dxa" w:w="2600"/>
            <w:tcMar>
              <w:top w:type="dxa" w:w="60"/>
              <w:left w:type="dxa" w:w="80"/>
              <w:bottom w:type="dxa" w:w="60"/>
              <w:right w:type="dxa" w:w="80"/>
            </w:tcMar>
          </w:tcPr>
          <w:p>
            <w:r>
              <w:rPr>
                <w:b w:val="false"/>
                <w:bCs w:val="false"/>
                <w:sz w:val="17"/>
                <w:szCs w:val="17"/>
              </w:rPr>
              <w:t xml:space="preserve">§3.0-3.3, Table 5 Role/Workspace Matrix (item 59), Table 6 (RACI), HR12-3-1.</w:t>
            </w:r>
          </w:p>
        </w:tc>
        <w:tc>
          <w:tcPr>
            <w:tcW w:type="dxa" w:w="2400"/>
            <w:tcMar>
              <w:top w:type="dxa" w:w="60"/>
              <w:left w:type="dxa" w:w="80"/>
              <w:bottom w:type="dxa" w:w="60"/>
              <w:right w:type="dxa" w:w="80"/>
            </w:tcMar>
          </w:tcPr>
          <w:p>
            <w:r>
              <w:rPr>
                <w:b w:val="false"/>
                <w:bCs w:val="false"/>
                <w:sz w:val="17"/>
                <w:szCs w:val="17"/>
              </w:rPr>
              <w:t xml:space="preserve">NCIE-002 proposed panels; NCIE-008 roles; NCIE-009 IAM.</w:t>
            </w:r>
          </w:p>
        </w:tc>
        <w:tc>
          <w:tcPr>
            <w:tcW w:type="dxa" w:w="2400"/>
            <w:tcMar>
              <w:top w:type="dxa" w:w="60"/>
              <w:left w:type="dxa" w:w="80"/>
              <w:bottom w:type="dxa" w:w="60"/>
              <w:right w:type="dxa" w:w="80"/>
            </w:tcMar>
          </w:tcPr>
          <w:p>
            <w:r>
              <w:rPr>
                <w:b w:val="false"/>
                <w:bCs w:val="false"/>
                <w:sz w:val="17"/>
                <w:szCs w:val="17"/>
              </w:rPr>
              <w:t xml:space="preserve">HR12-3-1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Information architecture &amp; navigation; HR focus: top-level navigation/terminology.</w:t>
            </w:r>
          </w:p>
        </w:tc>
        <w:tc>
          <w:tcPr>
            <w:tcW w:type="dxa" w:w="2600"/>
            <w:tcMar>
              <w:top w:type="dxa" w:w="60"/>
              <w:left w:type="dxa" w:w="80"/>
              <w:bottom w:type="dxa" w:w="60"/>
              <w:right w:type="dxa" w:w="80"/>
            </w:tcMar>
          </w:tcPr>
          <w:p>
            <w:r>
              <w:rPr>
                <w:b w:val="false"/>
                <w:bCs w:val="false"/>
                <w:sz w:val="17"/>
                <w:szCs w:val="17"/>
              </w:rPr>
              <w:t xml:space="preserve">§4.0-4.2, Table 7 (RACI), HR12-4-1.</w:t>
            </w:r>
          </w:p>
        </w:tc>
        <w:tc>
          <w:tcPr>
            <w:tcW w:type="dxa" w:w="2400"/>
            <w:tcMar>
              <w:top w:type="dxa" w:w="60"/>
              <w:left w:type="dxa" w:w="80"/>
              <w:bottom w:type="dxa" w:w="60"/>
              <w:right w:type="dxa" w:w="80"/>
            </w:tcMar>
          </w:tcPr>
          <w:p>
            <w:r>
              <w:rPr>
                <w:b w:val="false"/>
                <w:bCs w:val="false"/>
                <w:sz w:val="17"/>
                <w:szCs w:val="17"/>
              </w:rPr>
              <w:t xml:space="preserve">NCIE-001 Command Center; NCIE-011 routes; NCIE-009.</w:t>
            </w:r>
          </w:p>
        </w:tc>
        <w:tc>
          <w:tcPr>
            <w:tcW w:type="dxa" w:w="2400"/>
            <w:tcMar>
              <w:top w:type="dxa" w:w="60"/>
              <w:left w:type="dxa" w:w="80"/>
              <w:bottom w:type="dxa" w:w="60"/>
              <w:right w:type="dxa" w:w="80"/>
            </w:tcMar>
          </w:tcPr>
          <w:p>
            <w:r>
              <w:rPr>
                <w:b w:val="false"/>
                <w:bCs w:val="false"/>
                <w:sz w:val="17"/>
                <w:szCs w:val="17"/>
              </w:rPr>
              <w:t xml:space="preserve">HR12-4-1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Workspace shell &amp; panel composition; HR focus: default role layouts.</w:t>
            </w:r>
          </w:p>
        </w:tc>
        <w:tc>
          <w:tcPr>
            <w:tcW w:type="dxa" w:w="2600"/>
            <w:tcMar>
              <w:top w:type="dxa" w:w="60"/>
              <w:left w:type="dxa" w:w="80"/>
              <w:bottom w:type="dxa" w:w="60"/>
              <w:right w:type="dxa" w:w="80"/>
            </w:tcMar>
          </w:tcPr>
          <w:p>
            <w:r>
              <w:rPr>
                <w:b w:val="false"/>
                <w:bCs w:val="false"/>
                <w:sz w:val="17"/>
                <w:szCs w:val="17"/>
              </w:rPr>
              <w:t xml:space="preserve">§5.0-5.2, Table 8 (RACI), HR12-5-1.</w:t>
            </w:r>
          </w:p>
        </w:tc>
        <w:tc>
          <w:tcPr>
            <w:tcW w:type="dxa" w:w="2400"/>
            <w:tcMar>
              <w:top w:type="dxa" w:w="60"/>
              <w:left w:type="dxa" w:w="80"/>
              <w:bottom w:type="dxa" w:w="60"/>
              <w:right w:type="dxa" w:w="80"/>
            </w:tcMar>
          </w:tcPr>
          <w:p>
            <w:r>
              <w:rPr>
                <w:b w:val="false"/>
                <w:bCs w:val="false"/>
                <w:sz w:val="17"/>
                <w:szCs w:val="17"/>
              </w:rPr>
              <w:t xml:space="preserve">NCIE-002 proposed role panels; NCIE-004.</w:t>
            </w:r>
          </w:p>
        </w:tc>
        <w:tc>
          <w:tcPr>
            <w:tcW w:type="dxa" w:w="2400"/>
            <w:tcMar>
              <w:top w:type="dxa" w:w="60"/>
              <w:left w:type="dxa" w:w="80"/>
              <w:bottom w:type="dxa" w:w="60"/>
              <w:right w:type="dxa" w:w="80"/>
            </w:tcMar>
          </w:tcPr>
          <w:p>
            <w:r>
              <w:rPr>
                <w:b w:val="false"/>
                <w:bCs w:val="false"/>
                <w:sz w:val="17"/>
                <w:szCs w:val="17"/>
              </w:rPr>
              <w:t xml:space="preserve">HR12-5-1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Responsive layout &amp; viewport adaptation; HR focus: supported form factors.</w:t>
            </w:r>
          </w:p>
        </w:tc>
        <w:tc>
          <w:tcPr>
            <w:tcW w:type="dxa" w:w="2600"/>
            <w:tcMar>
              <w:top w:type="dxa" w:w="60"/>
              <w:left w:type="dxa" w:w="80"/>
              <w:bottom w:type="dxa" w:w="60"/>
              <w:right w:type="dxa" w:w="80"/>
            </w:tcMar>
          </w:tcPr>
          <w:p>
            <w:r>
              <w:rPr>
                <w:b w:val="false"/>
                <w:bCs w:val="false"/>
                <w:sz w:val="17"/>
                <w:szCs w:val="17"/>
              </w:rPr>
              <w:t xml:space="preserve">§6.0-6.2, Table 9 (RACI), HR12-6-1.</w:t>
            </w:r>
          </w:p>
        </w:tc>
        <w:tc>
          <w:tcPr>
            <w:tcW w:type="dxa" w:w="2400"/>
            <w:tcMar>
              <w:top w:type="dxa" w:w="60"/>
              <w:left w:type="dxa" w:w="80"/>
              <w:bottom w:type="dxa" w:w="60"/>
              <w:right w:type="dxa" w:w="80"/>
            </w:tcMar>
          </w:tcPr>
          <w:p>
            <w:r>
              <w:rPr>
                <w:b w:val="false"/>
                <w:bCs w:val="false"/>
                <w:sz w:val="17"/>
                <w:szCs w:val="17"/>
              </w:rPr>
              <w:t xml:space="preserve">NCIE-004 frontend; NCIE-002 NFRs.</w:t>
            </w:r>
          </w:p>
        </w:tc>
        <w:tc>
          <w:tcPr>
            <w:tcW w:type="dxa" w:w="2400"/>
            <w:tcMar>
              <w:top w:type="dxa" w:w="60"/>
              <w:left w:type="dxa" w:w="80"/>
              <w:bottom w:type="dxa" w:w="60"/>
              <w:right w:type="dxa" w:w="80"/>
            </w:tcMar>
          </w:tcPr>
          <w:p>
            <w:r>
              <w:rPr>
                <w:b w:val="false"/>
                <w:bCs w:val="false"/>
                <w:sz w:val="17"/>
                <w:szCs w:val="17"/>
              </w:rPr>
              <w:t xml:space="preserve">HR12-6-1 preserved verbatim, reclassified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Design System foundations; HR focus: brand/visual identity inputs.</w:t>
            </w:r>
          </w:p>
        </w:tc>
        <w:tc>
          <w:tcPr>
            <w:tcW w:type="dxa" w:w="2600"/>
            <w:tcMar>
              <w:top w:type="dxa" w:w="60"/>
              <w:left w:type="dxa" w:w="80"/>
              <w:bottom w:type="dxa" w:w="60"/>
              <w:right w:type="dxa" w:w="80"/>
            </w:tcMar>
          </w:tcPr>
          <w:p>
            <w:r>
              <w:rPr>
                <w:b w:val="false"/>
                <w:bCs w:val="false"/>
                <w:sz w:val="17"/>
                <w:szCs w:val="17"/>
              </w:rPr>
              <w:t xml:space="preserve">§7.0-7.2, Table 10 (RACI), HR12-7-1.</w:t>
            </w:r>
          </w:p>
        </w:tc>
        <w:tc>
          <w:tcPr>
            <w:tcW w:type="dxa" w:w="2400"/>
            <w:tcMar>
              <w:top w:type="dxa" w:w="60"/>
              <w:left w:type="dxa" w:w="80"/>
              <w:bottom w:type="dxa" w:w="60"/>
              <w:right w:type="dxa" w:w="80"/>
            </w:tcMar>
          </w:tcPr>
          <w:p>
            <w:r>
              <w:rPr>
                <w:b w:val="false"/>
                <w:bCs w:val="false"/>
                <w:sz w:val="17"/>
                <w:szCs w:val="17"/>
              </w:rPr>
              <w:t xml:space="preserve">NCIE-004 frontend baseline.</w:t>
            </w:r>
          </w:p>
        </w:tc>
        <w:tc>
          <w:tcPr>
            <w:tcW w:type="dxa" w:w="2400"/>
            <w:tcMar>
              <w:top w:type="dxa" w:w="60"/>
              <w:left w:type="dxa" w:w="80"/>
              <w:bottom w:type="dxa" w:w="60"/>
              <w:right w:type="dxa" w:w="80"/>
            </w:tcMar>
          </w:tcPr>
          <w:p>
            <w:r>
              <w:rPr>
                <w:b w:val="false"/>
                <w:bCs w:val="false"/>
                <w:sz w:val="17"/>
                <w:szCs w:val="17"/>
              </w:rPr>
              <w:t xml:space="preserve">HR12-7-1 preserved verbatim, reclassified PROPOSED DESIGN DEFAULT,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Component library &amp; composition rules; HR focus: component governance.</w:t>
            </w:r>
          </w:p>
        </w:tc>
        <w:tc>
          <w:tcPr>
            <w:tcW w:type="dxa" w:w="2600"/>
            <w:tcMar>
              <w:top w:type="dxa" w:w="60"/>
              <w:left w:type="dxa" w:w="80"/>
              <w:bottom w:type="dxa" w:w="60"/>
              <w:right w:type="dxa" w:w="80"/>
            </w:tcMar>
          </w:tcPr>
          <w:p>
            <w:r>
              <w:rPr>
                <w:b w:val="false"/>
                <w:bCs w:val="false"/>
                <w:sz w:val="17"/>
                <w:szCs w:val="17"/>
              </w:rPr>
              <w:t xml:space="preserve">§8.0-8.2, Table 11 (RACI), HR12-8-1.</w:t>
            </w:r>
          </w:p>
        </w:tc>
        <w:tc>
          <w:tcPr>
            <w:tcW w:type="dxa" w:w="2400"/>
            <w:tcMar>
              <w:top w:type="dxa" w:w="60"/>
              <w:left w:type="dxa" w:w="80"/>
              <w:bottom w:type="dxa" w:w="60"/>
              <w:right w:type="dxa" w:w="80"/>
            </w:tcMar>
          </w:tcPr>
          <w:p>
            <w:r>
              <w:rPr>
                <w:b w:val="false"/>
                <w:bCs w:val="false"/>
                <w:sz w:val="17"/>
                <w:szCs w:val="17"/>
              </w:rPr>
              <w:t xml:space="preserve">NCIE-004; NCIE-011 interface states.</w:t>
            </w:r>
          </w:p>
        </w:tc>
        <w:tc>
          <w:tcPr>
            <w:tcW w:type="dxa" w:w="2400"/>
            <w:tcMar>
              <w:top w:type="dxa" w:w="60"/>
              <w:left w:type="dxa" w:w="80"/>
              <w:bottom w:type="dxa" w:w="60"/>
              <w:right w:type="dxa" w:w="80"/>
            </w:tcMar>
          </w:tcPr>
          <w:p>
            <w:r>
              <w:rPr>
                <w:b w:val="false"/>
                <w:bCs w:val="false"/>
                <w:sz w:val="17"/>
                <w:szCs w:val="17"/>
              </w:rPr>
              <w:t xml:space="preserve">HR12-8-1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Data tables, grids &amp; analytical views; HR focus: density/export defaults.</w:t>
            </w:r>
          </w:p>
        </w:tc>
        <w:tc>
          <w:tcPr>
            <w:tcW w:type="dxa" w:w="2600"/>
            <w:tcMar>
              <w:top w:type="dxa" w:w="60"/>
              <w:left w:type="dxa" w:w="80"/>
              <w:bottom w:type="dxa" w:w="60"/>
              <w:right w:type="dxa" w:w="80"/>
            </w:tcMar>
          </w:tcPr>
          <w:p>
            <w:r>
              <w:rPr>
                <w:b w:val="false"/>
                <w:bCs w:val="false"/>
                <w:sz w:val="17"/>
                <w:szCs w:val="17"/>
              </w:rPr>
              <w:t xml:space="preserve">§9.0-9.2, Table 12 (RACI), HR12-9-1.</w:t>
            </w:r>
          </w:p>
        </w:tc>
        <w:tc>
          <w:tcPr>
            <w:tcW w:type="dxa" w:w="2400"/>
            <w:tcMar>
              <w:top w:type="dxa" w:w="60"/>
              <w:left w:type="dxa" w:w="80"/>
              <w:bottom w:type="dxa" w:w="60"/>
              <w:right w:type="dxa" w:w="80"/>
            </w:tcMar>
          </w:tcPr>
          <w:p>
            <w:r>
              <w:rPr>
                <w:b w:val="false"/>
                <w:bCs w:val="false"/>
                <w:sz w:val="17"/>
                <w:szCs w:val="17"/>
              </w:rPr>
              <w:t xml:space="preserve">NCIE-003; NCIE-009; NCIE-010.</w:t>
            </w:r>
          </w:p>
        </w:tc>
        <w:tc>
          <w:tcPr>
            <w:tcW w:type="dxa" w:w="2400"/>
            <w:tcMar>
              <w:top w:type="dxa" w:w="60"/>
              <w:left w:type="dxa" w:w="80"/>
              <w:bottom w:type="dxa" w:w="60"/>
              <w:right w:type="dxa" w:w="80"/>
            </w:tcMar>
          </w:tcPr>
          <w:p>
            <w:r>
              <w:rPr>
                <w:b w:val="false"/>
                <w:bCs w:val="false"/>
                <w:sz w:val="17"/>
                <w:szCs w:val="17"/>
              </w:rPr>
              <w:t xml:space="preserve">HR12-9-1 preserved verbatim, reclassified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Charts, maps &amp; visual analytics; HR focus: visualization conventions.</w:t>
            </w:r>
          </w:p>
        </w:tc>
        <w:tc>
          <w:tcPr>
            <w:tcW w:type="dxa" w:w="2600"/>
            <w:tcMar>
              <w:top w:type="dxa" w:w="60"/>
              <w:left w:type="dxa" w:w="80"/>
              <w:bottom w:type="dxa" w:w="60"/>
              <w:right w:type="dxa" w:w="80"/>
            </w:tcMar>
          </w:tcPr>
          <w:p>
            <w:r>
              <w:rPr>
                <w:b w:val="false"/>
                <w:bCs w:val="false"/>
                <w:sz w:val="17"/>
                <w:szCs w:val="17"/>
              </w:rPr>
              <w:t xml:space="preserve">§10.0-10.2, Table 13 (RACI), HR12-10-1.</w:t>
            </w:r>
          </w:p>
        </w:tc>
        <w:tc>
          <w:tcPr>
            <w:tcW w:type="dxa" w:w="2400"/>
            <w:tcMar>
              <w:top w:type="dxa" w:w="60"/>
              <w:left w:type="dxa" w:w="80"/>
              <w:bottom w:type="dxa" w:w="60"/>
              <w:right w:type="dxa" w:w="80"/>
            </w:tcMar>
          </w:tcPr>
          <w:p>
            <w:r>
              <w:rPr>
                <w:b w:val="false"/>
                <w:bCs w:val="false"/>
                <w:sz w:val="17"/>
                <w:szCs w:val="17"/>
              </w:rPr>
              <w:t xml:space="preserve">NCIE-001/002; NCIE-003 GIS/KPI; NCIE-010.</w:t>
            </w:r>
          </w:p>
        </w:tc>
        <w:tc>
          <w:tcPr>
            <w:tcW w:type="dxa" w:w="2400"/>
            <w:tcMar>
              <w:top w:type="dxa" w:w="60"/>
              <w:left w:type="dxa" w:w="80"/>
              <w:bottom w:type="dxa" w:w="60"/>
              <w:right w:type="dxa" w:w="80"/>
            </w:tcMar>
          </w:tcPr>
          <w:p>
            <w:r>
              <w:rPr>
                <w:b w:val="false"/>
                <w:bCs w:val="false"/>
                <w:sz w:val="17"/>
                <w:szCs w:val="17"/>
              </w:rPr>
              <w:t xml:space="preserve">HR12-10-1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ARGUS presentation modes; HR focus: default ARGUS mode.</w:t>
            </w:r>
          </w:p>
        </w:tc>
        <w:tc>
          <w:tcPr>
            <w:tcW w:type="dxa" w:w="2600"/>
            <w:tcMar>
              <w:top w:type="dxa" w:w="60"/>
              <w:left w:type="dxa" w:w="80"/>
              <w:bottom w:type="dxa" w:w="60"/>
              <w:right w:type="dxa" w:w="80"/>
            </w:tcMar>
          </w:tcPr>
          <w:p>
            <w:r>
              <w:rPr>
                <w:b w:val="false"/>
                <w:bCs w:val="false"/>
                <w:sz w:val="17"/>
                <w:szCs w:val="17"/>
              </w:rPr>
              <w:t xml:space="preserve">§11.0-11.2, Table 14 (RACI), HR12-11-1.</w:t>
            </w:r>
          </w:p>
        </w:tc>
        <w:tc>
          <w:tcPr>
            <w:tcW w:type="dxa" w:w="2400"/>
            <w:tcMar>
              <w:top w:type="dxa" w:w="60"/>
              <w:left w:type="dxa" w:w="80"/>
              <w:bottom w:type="dxa" w:w="60"/>
              <w:right w:type="dxa" w:w="80"/>
            </w:tcMar>
          </w:tcPr>
          <w:p>
            <w:r>
              <w:rPr>
                <w:b w:val="false"/>
                <w:bCs w:val="false"/>
                <w:sz w:val="17"/>
                <w:szCs w:val="17"/>
              </w:rPr>
              <w:t xml:space="preserve">NCIE-002 proposed ARGUS state; NCIE-005.</w:t>
            </w:r>
          </w:p>
        </w:tc>
        <w:tc>
          <w:tcPr>
            <w:tcW w:type="dxa" w:w="2400"/>
            <w:tcMar>
              <w:top w:type="dxa" w:w="60"/>
              <w:left w:type="dxa" w:w="80"/>
              <w:bottom w:type="dxa" w:w="60"/>
              <w:right w:type="dxa" w:w="80"/>
            </w:tcMar>
          </w:tcPr>
          <w:p>
            <w:r>
              <w:rPr>
                <w:b w:val="false"/>
                <w:bCs w:val="false"/>
                <w:sz w:val="17"/>
                <w:szCs w:val="17"/>
              </w:rPr>
              <w:t xml:space="preserve">HR12-11-1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Conversational interaction &amp; response structure; HR focus: information density/disclosure.</w:t>
            </w:r>
          </w:p>
        </w:tc>
        <w:tc>
          <w:tcPr>
            <w:tcW w:type="dxa" w:w="2600"/>
            <w:tcMar>
              <w:top w:type="dxa" w:w="60"/>
              <w:left w:type="dxa" w:w="80"/>
              <w:bottom w:type="dxa" w:w="60"/>
              <w:right w:type="dxa" w:w="80"/>
            </w:tcMar>
          </w:tcPr>
          <w:p>
            <w:r>
              <w:rPr>
                <w:b w:val="false"/>
                <w:bCs w:val="false"/>
                <w:sz w:val="17"/>
                <w:szCs w:val="17"/>
              </w:rPr>
              <w:t xml:space="preserve">§12.0-12.2, Table 15 (RACI), HR12-12-1.</w:t>
            </w:r>
          </w:p>
        </w:tc>
        <w:tc>
          <w:tcPr>
            <w:tcW w:type="dxa" w:w="2400"/>
            <w:tcMar>
              <w:top w:type="dxa" w:w="60"/>
              <w:left w:type="dxa" w:w="80"/>
              <w:bottom w:type="dxa" w:w="60"/>
              <w:right w:type="dxa" w:w="80"/>
            </w:tcMar>
          </w:tcPr>
          <w:p>
            <w:r>
              <w:rPr>
                <w:b w:val="false"/>
                <w:bCs w:val="false"/>
                <w:sz w:val="17"/>
                <w:szCs w:val="17"/>
              </w:rPr>
              <w:t xml:space="preserve">NCIE-005; NCIE-006; NCIE-010.</w:t>
            </w:r>
          </w:p>
        </w:tc>
        <w:tc>
          <w:tcPr>
            <w:tcW w:type="dxa" w:w="2400"/>
            <w:tcMar>
              <w:top w:type="dxa" w:w="60"/>
              <w:left w:type="dxa" w:w="80"/>
              <w:bottom w:type="dxa" w:w="60"/>
              <w:right w:type="dxa" w:w="80"/>
            </w:tcMar>
          </w:tcPr>
          <w:p>
            <w:r>
              <w:rPr>
                <w:b w:val="false"/>
                <w:bCs w:val="false"/>
                <w:sz w:val="17"/>
                <w:szCs w:val="17"/>
              </w:rPr>
              <w:t xml:space="preserve">HR12-12-1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Voice, speech &amp; multimodal interaction; HR focus: voice defaults/environments.</w:t>
            </w:r>
          </w:p>
        </w:tc>
        <w:tc>
          <w:tcPr>
            <w:tcW w:type="dxa" w:w="2600"/>
            <w:tcMar>
              <w:top w:type="dxa" w:w="60"/>
              <w:left w:type="dxa" w:w="80"/>
              <w:bottom w:type="dxa" w:w="60"/>
              <w:right w:type="dxa" w:w="80"/>
            </w:tcMar>
          </w:tcPr>
          <w:p>
            <w:r>
              <w:rPr>
                <w:b w:val="false"/>
                <w:bCs w:val="false"/>
                <w:sz w:val="17"/>
                <w:szCs w:val="17"/>
              </w:rPr>
              <w:t xml:space="preserve">§13.0-13.2, Table 16 (RACI), HR12-13-1.</w:t>
            </w:r>
          </w:p>
        </w:tc>
        <w:tc>
          <w:tcPr>
            <w:tcW w:type="dxa" w:w="2400"/>
            <w:tcMar>
              <w:top w:type="dxa" w:w="60"/>
              <w:left w:type="dxa" w:w="80"/>
              <w:bottom w:type="dxa" w:w="60"/>
              <w:right w:type="dxa" w:w="80"/>
            </w:tcMar>
          </w:tcPr>
          <w:p>
            <w:r>
              <w:rPr>
                <w:b w:val="false"/>
                <w:bCs w:val="false"/>
                <w:sz w:val="17"/>
                <w:szCs w:val="17"/>
              </w:rPr>
              <w:t xml:space="preserve">NCIE-005 voice; NCIE-009 security.</w:t>
            </w:r>
          </w:p>
        </w:tc>
        <w:tc>
          <w:tcPr>
            <w:tcW w:type="dxa" w:w="2400"/>
            <w:tcMar>
              <w:top w:type="dxa" w:w="60"/>
              <w:left w:type="dxa" w:w="80"/>
              <w:bottom w:type="dxa" w:w="60"/>
              <w:right w:type="dxa" w:w="80"/>
            </w:tcMar>
          </w:tcPr>
          <w:p>
            <w:r>
              <w:rPr>
                <w:b w:val="false"/>
                <w:bCs w:val="false"/>
                <w:sz w:val="17"/>
                <w:szCs w:val="17"/>
              </w:rPr>
              <w:t xml:space="preserve">HR12-13-1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Agent &amp; multi-Agent status presentation; HR focus: Agent detail by user class.</w:t>
            </w:r>
          </w:p>
        </w:tc>
        <w:tc>
          <w:tcPr>
            <w:tcW w:type="dxa" w:w="2600"/>
            <w:tcMar>
              <w:top w:type="dxa" w:w="60"/>
              <w:left w:type="dxa" w:w="80"/>
              <w:bottom w:type="dxa" w:w="60"/>
              <w:right w:type="dxa" w:w="80"/>
            </w:tcMar>
          </w:tcPr>
          <w:p>
            <w:r>
              <w:rPr>
                <w:b w:val="false"/>
                <w:bCs w:val="false"/>
                <w:sz w:val="17"/>
                <w:szCs w:val="17"/>
              </w:rPr>
              <w:t xml:space="preserve">§14.0-14.2, Table 17 (RACI), HR12-14-1.</w:t>
            </w:r>
          </w:p>
        </w:tc>
        <w:tc>
          <w:tcPr>
            <w:tcW w:type="dxa" w:w="2400"/>
            <w:tcMar>
              <w:top w:type="dxa" w:w="60"/>
              <w:left w:type="dxa" w:w="80"/>
              <w:bottom w:type="dxa" w:w="60"/>
              <w:right w:type="dxa" w:w="80"/>
            </w:tcMar>
          </w:tcPr>
          <w:p>
            <w:r>
              <w:rPr>
                <w:b w:val="false"/>
                <w:bCs w:val="false"/>
                <w:sz w:val="17"/>
                <w:szCs w:val="17"/>
              </w:rPr>
              <w:t xml:space="preserve">NCIE-007; NCIE-003 Agent objects.</w:t>
            </w:r>
          </w:p>
        </w:tc>
        <w:tc>
          <w:tcPr>
            <w:tcW w:type="dxa" w:w="2400"/>
            <w:tcMar>
              <w:top w:type="dxa" w:w="60"/>
              <w:left w:type="dxa" w:w="80"/>
              <w:bottom w:type="dxa" w:w="60"/>
              <w:right w:type="dxa" w:w="80"/>
            </w:tcMar>
          </w:tcPr>
          <w:p>
            <w:r>
              <w:rPr>
                <w:b w:val="false"/>
                <w:bCs w:val="false"/>
                <w:sz w:val="17"/>
                <w:szCs w:val="17"/>
              </w:rPr>
              <w:t xml:space="preserve">HR12-14-1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Gate A, Gate B &amp; VPF state presentation; HR focus: labels/icons for validation states.</w:t>
            </w:r>
          </w:p>
        </w:tc>
        <w:tc>
          <w:tcPr>
            <w:tcW w:type="dxa" w:w="2600"/>
            <w:tcMar>
              <w:top w:type="dxa" w:w="60"/>
              <w:left w:type="dxa" w:w="80"/>
              <w:bottom w:type="dxa" w:w="60"/>
              <w:right w:type="dxa" w:w="80"/>
            </w:tcMar>
          </w:tcPr>
          <w:p>
            <w:r>
              <w:rPr>
                <w:b w:val="false"/>
                <w:bCs w:val="false"/>
                <w:sz w:val="17"/>
                <w:szCs w:val="17"/>
              </w:rPr>
              <w:t xml:space="preserve">§15.0-15.3, Table 18 ARGUS/Agent/VPF Presentation Matrix (item 60), Table 19 (RACI), HR12-15-1.</w:t>
            </w:r>
          </w:p>
        </w:tc>
        <w:tc>
          <w:tcPr>
            <w:tcW w:type="dxa" w:w="2400"/>
            <w:tcMar>
              <w:top w:type="dxa" w:w="60"/>
              <w:left w:type="dxa" w:w="80"/>
              <w:bottom w:type="dxa" w:w="60"/>
              <w:right w:type="dxa" w:w="80"/>
            </w:tcMar>
          </w:tcPr>
          <w:p>
            <w:r>
              <w:rPr>
                <w:b w:val="false"/>
                <w:bCs w:val="false"/>
                <w:sz w:val="17"/>
                <w:szCs w:val="17"/>
              </w:rPr>
              <w:t xml:space="preserve">NCIE-007 Ch.21/26; NCIE-003.</w:t>
            </w:r>
          </w:p>
        </w:tc>
        <w:tc>
          <w:tcPr>
            <w:tcW w:type="dxa" w:w="2400"/>
            <w:tcMar>
              <w:top w:type="dxa" w:w="60"/>
              <w:left w:type="dxa" w:w="80"/>
              <w:bottom w:type="dxa" w:w="60"/>
              <w:right w:type="dxa" w:w="80"/>
            </w:tcMar>
          </w:tcPr>
          <w:p>
            <w:r>
              <w:rPr>
                <w:b w:val="false"/>
                <w:bCs w:val="false"/>
                <w:sz w:val="17"/>
                <w:szCs w:val="17"/>
              </w:rPr>
              <w:t xml:space="preserve">HR12-15-1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Human Approval, Review &amp; Governance UX; HR focus: approval/review interaction patterns.</w:t>
            </w:r>
          </w:p>
        </w:tc>
        <w:tc>
          <w:tcPr>
            <w:tcW w:type="dxa" w:w="2600"/>
            <w:tcMar>
              <w:top w:type="dxa" w:w="60"/>
              <w:left w:type="dxa" w:w="80"/>
              <w:bottom w:type="dxa" w:w="60"/>
              <w:right w:type="dxa" w:w="80"/>
            </w:tcMar>
          </w:tcPr>
          <w:p>
            <w:r>
              <w:rPr>
                <w:b w:val="false"/>
                <w:bCs w:val="false"/>
                <w:sz w:val="17"/>
                <w:szCs w:val="17"/>
              </w:rPr>
              <w:t xml:space="preserve">§16.0-16.2, Table 20 (RACI), HR12-16-1.</w:t>
            </w:r>
          </w:p>
        </w:tc>
        <w:tc>
          <w:tcPr>
            <w:tcW w:type="dxa" w:w="2400"/>
            <w:tcMar>
              <w:top w:type="dxa" w:w="60"/>
              <w:left w:type="dxa" w:w="80"/>
              <w:bottom w:type="dxa" w:w="60"/>
              <w:right w:type="dxa" w:w="80"/>
            </w:tcMar>
          </w:tcPr>
          <w:p>
            <w:r>
              <w:rPr>
                <w:b w:val="false"/>
                <w:bCs w:val="false"/>
                <w:sz w:val="17"/>
                <w:szCs w:val="17"/>
              </w:rPr>
              <w:t xml:space="preserve">NCIE-008; NCIE-005/007.</w:t>
            </w:r>
          </w:p>
        </w:tc>
        <w:tc>
          <w:tcPr>
            <w:tcW w:type="dxa" w:w="2400"/>
            <w:tcMar>
              <w:top w:type="dxa" w:w="60"/>
              <w:left w:type="dxa" w:w="80"/>
              <w:bottom w:type="dxa" w:w="60"/>
              <w:right w:type="dxa" w:w="80"/>
            </w:tcMar>
          </w:tcPr>
          <w:p>
            <w:r>
              <w:rPr>
                <w:b w:val="false"/>
                <w:bCs w:val="false"/>
                <w:sz w:val="17"/>
                <w:szCs w:val="17"/>
              </w:rPr>
              <w:t xml:space="preserve">HR12-16-1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Security, authentication &amp; step-up UX; HR focus: step-up/recovery presentation.</w:t>
            </w:r>
          </w:p>
        </w:tc>
        <w:tc>
          <w:tcPr>
            <w:tcW w:type="dxa" w:w="2600"/>
            <w:tcMar>
              <w:top w:type="dxa" w:w="60"/>
              <w:left w:type="dxa" w:w="80"/>
              <w:bottom w:type="dxa" w:w="60"/>
              <w:right w:type="dxa" w:w="80"/>
            </w:tcMar>
          </w:tcPr>
          <w:p>
            <w:r>
              <w:rPr>
                <w:b w:val="false"/>
                <w:bCs w:val="false"/>
                <w:sz w:val="17"/>
                <w:szCs w:val="17"/>
              </w:rPr>
              <w:t xml:space="preserve">§17.0-17.3, Table 21 Security-State Matrix (item 61), Table 22 (RACI), HR12-17-1.</w:t>
            </w:r>
          </w:p>
        </w:tc>
        <w:tc>
          <w:tcPr>
            <w:tcW w:type="dxa" w:w="2400"/>
            <w:tcMar>
              <w:top w:type="dxa" w:w="60"/>
              <w:left w:type="dxa" w:w="80"/>
              <w:bottom w:type="dxa" w:w="60"/>
              <w:right w:type="dxa" w:w="80"/>
            </w:tcMar>
          </w:tcPr>
          <w:p>
            <w:r>
              <w:rPr>
                <w:b w:val="false"/>
                <w:bCs w:val="false"/>
                <w:sz w:val="17"/>
                <w:szCs w:val="17"/>
              </w:rPr>
              <w:t xml:space="preserve">NCIE-009 Ch.5 and handover.</w:t>
            </w:r>
          </w:p>
        </w:tc>
        <w:tc>
          <w:tcPr>
            <w:tcW w:type="dxa" w:w="2400"/>
            <w:tcMar>
              <w:top w:type="dxa" w:w="60"/>
              <w:left w:type="dxa" w:w="80"/>
              <w:bottom w:type="dxa" w:w="60"/>
              <w:right w:type="dxa" w:w="80"/>
            </w:tcMar>
          </w:tcPr>
          <w:p>
            <w:r>
              <w:rPr>
                <w:b w:val="false"/>
                <w:bCs w:val="false"/>
                <w:sz w:val="17"/>
                <w:szCs w:val="17"/>
              </w:rPr>
              <w:t xml:space="preserve">HR12-17-1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Privileged &amp; break-glass UX; HR focus: break-glass confirmations.</w:t>
            </w:r>
          </w:p>
        </w:tc>
        <w:tc>
          <w:tcPr>
            <w:tcW w:type="dxa" w:w="2600"/>
            <w:tcMar>
              <w:top w:type="dxa" w:w="60"/>
              <w:left w:type="dxa" w:w="80"/>
              <w:bottom w:type="dxa" w:w="60"/>
              <w:right w:type="dxa" w:w="80"/>
            </w:tcMar>
          </w:tcPr>
          <w:p>
            <w:r>
              <w:rPr>
                <w:b w:val="false"/>
                <w:bCs w:val="false"/>
                <w:sz w:val="17"/>
                <w:szCs w:val="17"/>
              </w:rPr>
              <w:t xml:space="preserve">§18.0-18.2, Table 23 (RACI), HR12-18-1.</w:t>
            </w:r>
          </w:p>
        </w:tc>
        <w:tc>
          <w:tcPr>
            <w:tcW w:type="dxa" w:w="2400"/>
            <w:tcMar>
              <w:top w:type="dxa" w:w="60"/>
              <w:left w:type="dxa" w:w="80"/>
              <w:bottom w:type="dxa" w:w="60"/>
              <w:right w:type="dxa" w:w="80"/>
            </w:tcMar>
          </w:tcPr>
          <w:p>
            <w:r>
              <w:rPr>
                <w:b w:val="false"/>
                <w:bCs w:val="false"/>
                <w:sz w:val="17"/>
                <w:szCs w:val="17"/>
              </w:rPr>
              <w:t xml:space="preserve">NCIE-009 Ch.8-9; NCIE-008.</w:t>
            </w:r>
          </w:p>
        </w:tc>
        <w:tc>
          <w:tcPr>
            <w:tcW w:type="dxa" w:w="2400"/>
            <w:tcMar>
              <w:top w:type="dxa" w:w="60"/>
              <w:left w:type="dxa" w:w="80"/>
              <w:bottom w:type="dxa" w:w="60"/>
              <w:right w:type="dxa" w:w="80"/>
            </w:tcMar>
          </w:tcPr>
          <w:p>
            <w:r>
              <w:rPr>
                <w:b w:val="false"/>
                <w:bCs w:val="false"/>
                <w:sz w:val="17"/>
                <w:szCs w:val="17"/>
              </w:rPr>
              <w:t xml:space="preserve">HR12-18-1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Authorization, restricted &amp; redacted states; HR focus: existence-disclosure rules.</w:t>
            </w:r>
          </w:p>
        </w:tc>
        <w:tc>
          <w:tcPr>
            <w:tcW w:type="dxa" w:w="2600"/>
            <w:tcMar>
              <w:top w:type="dxa" w:w="60"/>
              <w:left w:type="dxa" w:w="80"/>
              <w:bottom w:type="dxa" w:w="60"/>
              <w:right w:type="dxa" w:w="80"/>
            </w:tcMar>
          </w:tcPr>
          <w:p>
            <w:r>
              <w:rPr>
                <w:b w:val="false"/>
                <w:bCs w:val="false"/>
                <w:sz w:val="17"/>
                <w:szCs w:val="17"/>
              </w:rPr>
              <w:t xml:space="preserve">§19.0-19.2, Table 24 (RACI), HR12-19-1.</w:t>
            </w:r>
          </w:p>
        </w:tc>
        <w:tc>
          <w:tcPr>
            <w:tcW w:type="dxa" w:w="2400"/>
            <w:tcMar>
              <w:top w:type="dxa" w:w="60"/>
              <w:left w:type="dxa" w:w="80"/>
              <w:bottom w:type="dxa" w:w="60"/>
              <w:right w:type="dxa" w:w="80"/>
            </w:tcMar>
          </w:tcPr>
          <w:p>
            <w:r>
              <w:rPr>
                <w:b w:val="false"/>
                <w:bCs w:val="false"/>
                <w:sz w:val="17"/>
                <w:szCs w:val="17"/>
              </w:rPr>
              <w:t xml:space="preserve">NCIE-009; NCIE-003.</w:t>
            </w:r>
          </w:p>
        </w:tc>
        <w:tc>
          <w:tcPr>
            <w:tcW w:type="dxa" w:w="2400"/>
            <w:tcMar>
              <w:top w:type="dxa" w:w="60"/>
              <w:left w:type="dxa" w:w="80"/>
              <w:bottom w:type="dxa" w:w="60"/>
              <w:right w:type="dxa" w:w="80"/>
            </w:tcMar>
          </w:tcPr>
          <w:p>
            <w:r>
              <w:rPr>
                <w:b w:val="false"/>
                <w:bCs w:val="false"/>
                <w:sz w:val="17"/>
                <w:szCs w:val="17"/>
              </w:rPr>
              <w:t xml:space="preserve">HR12-19-1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Evidence, provenance &amp; audit presentation; HR focus: default Evidence detail.</w:t>
            </w:r>
          </w:p>
        </w:tc>
        <w:tc>
          <w:tcPr>
            <w:tcW w:type="dxa" w:w="2600"/>
            <w:tcMar>
              <w:top w:type="dxa" w:w="60"/>
              <w:left w:type="dxa" w:w="80"/>
              <w:bottom w:type="dxa" w:w="60"/>
              <w:right w:type="dxa" w:w="80"/>
            </w:tcMar>
          </w:tcPr>
          <w:p>
            <w:r>
              <w:rPr>
                <w:b w:val="false"/>
                <w:bCs w:val="false"/>
                <w:sz w:val="17"/>
                <w:szCs w:val="17"/>
              </w:rPr>
              <w:t xml:space="preserve">§20.0-20.3, Table 25 Evidence-State Matrix (item 62), Table 26 (RACI), HR12-20-1.</w:t>
            </w:r>
          </w:p>
        </w:tc>
        <w:tc>
          <w:tcPr>
            <w:tcW w:type="dxa" w:w="2400"/>
            <w:tcMar>
              <w:top w:type="dxa" w:w="60"/>
              <w:left w:type="dxa" w:w="80"/>
              <w:bottom w:type="dxa" w:w="60"/>
              <w:right w:type="dxa" w:w="80"/>
            </w:tcMar>
          </w:tcPr>
          <w:p>
            <w:r>
              <w:rPr>
                <w:b w:val="false"/>
                <w:bCs w:val="false"/>
                <w:sz w:val="17"/>
                <w:szCs w:val="17"/>
              </w:rPr>
              <w:t xml:space="preserve">NCIE-010; NCIE-003.</w:t>
            </w:r>
          </w:p>
        </w:tc>
        <w:tc>
          <w:tcPr>
            <w:tcW w:type="dxa" w:w="2400"/>
            <w:tcMar>
              <w:top w:type="dxa" w:w="60"/>
              <w:left w:type="dxa" w:w="80"/>
              <w:bottom w:type="dxa" w:w="60"/>
              <w:right w:type="dxa" w:w="80"/>
            </w:tcMar>
          </w:tcPr>
          <w:p>
            <w:r>
              <w:rPr>
                <w:b w:val="false"/>
                <w:bCs w:val="false"/>
                <w:sz w:val="17"/>
                <w:szCs w:val="17"/>
              </w:rPr>
              <w:t xml:space="preserve">HR12-20-1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Search, discovery &amp; retrieval UX; HR focus: restricted-result behavior.</w:t>
            </w:r>
          </w:p>
        </w:tc>
        <w:tc>
          <w:tcPr>
            <w:tcW w:type="dxa" w:w="2600"/>
            <w:tcMar>
              <w:top w:type="dxa" w:w="60"/>
              <w:left w:type="dxa" w:w="80"/>
              <w:bottom w:type="dxa" w:w="60"/>
              <w:right w:type="dxa" w:w="80"/>
            </w:tcMar>
          </w:tcPr>
          <w:p>
            <w:r>
              <w:rPr>
                <w:b w:val="false"/>
                <w:bCs w:val="false"/>
                <w:sz w:val="17"/>
                <w:szCs w:val="17"/>
              </w:rPr>
              <w:t xml:space="preserve">§21.0-21.2, Table 27 (RACI), HR12-21-1.</w:t>
            </w:r>
          </w:p>
        </w:tc>
        <w:tc>
          <w:tcPr>
            <w:tcW w:type="dxa" w:w="2400"/>
            <w:tcMar>
              <w:top w:type="dxa" w:w="60"/>
              <w:left w:type="dxa" w:w="80"/>
              <w:bottom w:type="dxa" w:w="60"/>
              <w:right w:type="dxa" w:w="80"/>
            </w:tcMar>
          </w:tcPr>
          <w:p>
            <w:r>
              <w:rPr>
                <w:b w:val="false"/>
                <w:bCs w:val="false"/>
                <w:sz w:val="17"/>
                <w:szCs w:val="17"/>
              </w:rPr>
              <w:t xml:space="preserve">NCIE-006; NCIE-009; NCIE-010.</w:t>
            </w:r>
          </w:p>
        </w:tc>
        <w:tc>
          <w:tcPr>
            <w:tcW w:type="dxa" w:w="2400"/>
            <w:tcMar>
              <w:top w:type="dxa" w:w="60"/>
              <w:left w:type="dxa" w:w="80"/>
              <w:bottom w:type="dxa" w:w="60"/>
              <w:right w:type="dxa" w:w="80"/>
            </w:tcMar>
          </w:tcPr>
          <w:p>
            <w:r>
              <w:rPr>
                <w:b w:val="false"/>
                <w:bCs w:val="false"/>
                <w:sz w:val="17"/>
                <w:szCs w:val="17"/>
              </w:rPr>
              <w:t xml:space="preserve">HR12-21-1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Notifications, alerts &amp; situation awareness; HR focus: severity/acknowledgement UX.</w:t>
            </w:r>
          </w:p>
        </w:tc>
        <w:tc>
          <w:tcPr>
            <w:tcW w:type="dxa" w:w="2600"/>
            <w:tcMar>
              <w:top w:type="dxa" w:w="60"/>
              <w:left w:type="dxa" w:w="80"/>
              <w:bottom w:type="dxa" w:w="60"/>
              <w:right w:type="dxa" w:w="80"/>
            </w:tcMar>
          </w:tcPr>
          <w:p>
            <w:r>
              <w:rPr>
                <w:b w:val="false"/>
                <w:bCs w:val="false"/>
                <w:sz w:val="17"/>
                <w:szCs w:val="17"/>
              </w:rPr>
              <w:t xml:space="preserve">§22.0-22.2, Table 28 (RACI), HR12-22-1.</w:t>
            </w:r>
          </w:p>
        </w:tc>
        <w:tc>
          <w:tcPr>
            <w:tcW w:type="dxa" w:w="2400"/>
            <w:tcMar>
              <w:top w:type="dxa" w:w="60"/>
              <w:left w:type="dxa" w:w="80"/>
              <w:bottom w:type="dxa" w:w="60"/>
              <w:right w:type="dxa" w:w="80"/>
            </w:tcMar>
          </w:tcPr>
          <w:p>
            <w:r>
              <w:rPr>
                <w:b w:val="false"/>
                <w:bCs w:val="false"/>
                <w:sz w:val="17"/>
                <w:szCs w:val="17"/>
              </w:rPr>
              <w:t xml:space="preserve">NCIE-001/002; NCIE-005; NCIE-011 events.</w:t>
            </w:r>
          </w:p>
        </w:tc>
        <w:tc>
          <w:tcPr>
            <w:tcW w:type="dxa" w:w="2400"/>
            <w:tcMar>
              <w:top w:type="dxa" w:w="60"/>
              <w:left w:type="dxa" w:w="80"/>
              <w:bottom w:type="dxa" w:w="60"/>
              <w:right w:type="dxa" w:w="80"/>
            </w:tcMar>
          </w:tcPr>
          <w:p>
            <w:r>
              <w:rPr>
                <w:b w:val="false"/>
                <w:bCs w:val="false"/>
                <w:sz w:val="17"/>
                <w:szCs w:val="17"/>
              </w:rPr>
              <w:t xml:space="preserve">HR12-22-1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Async operations, progress &amp; outcome-unknown UX; HR focus: actions while outcome unknown.</w:t>
            </w:r>
          </w:p>
        </w:tc>
        <w:tc>
          <w:tcPr>
            <w:tcW w:type="dxa" w:w="2600"/>
            <w:tcMar>
              <w:top w:type="dxa" w:w="60"/>
              <w:left w:type="dxa" w:w="80"/>
              <w:bottom w:type="dxa" w:w="60"/>
              <w:right w:type="dxa" w:w="80"/>
            </w:tcMar>
          </w:tcPr>
          <w:p>
            <w:r>
              <w:rPr>
                <w:b w:val="false"/>
                <w:bCs w:val="false"/>
                <w:sz w:val="17"/>
                <w:szCs w:val="17"/>
              </w:rPr>
              <w:t xml:space="preserve">§23.0-23.2, Table 29 Async/Outcome Matrix (item 63), Table 30 (RACI), HR12-23-1.</w:t>
            </w:r>
          </w:p>
        </w:tc>
        <w:tc>
          <w:tcPr>
            <w:tcW w:type="dxa" w:w="2400"/>
            <w:tcMar>
              <w:top w:type="dxa" w:w="60"/>
              <w:left w:type="dxa" w:w="80"/>
              <w:bottom w:type="dxa" w:w="60"/>
              <w:right w:type="dxa" w:w="80"/>
            </w:tcMar>
          </w:tcPr>
          <w:p>
            <w:r>
              <w:rPr>
                <w:b w:val="false"/>
                <w:bCs w:val="false"/>
                <w:sz w:val="17"/>
                <w:szCs w:val="17"/>
              </w:rPr>
              <w:t xml:space="preserve">NCIE-011 Ch.23/25; NCIE-007 Tools.</w:t>
            </w:r>
          </w:p>
        </w:tc>
        <w:tc>
          <w:tcPr>
            <w:tcW w:type="dxa" w:w="2400"/>
            <w:tcMar>
              <w:top w:type="dxa" w:w="60"/>
              <w:left w:type="dxa" w:w="80"/>
              <w:bottom w:type="dxa" w:w="60"/>
              <w:right w:type="dxa" w:w="80"/>
            </w:tcMar>
          </w:tcPr>
          <w:p>
            <w:r>
              <w:rPr>
                <w:b w:val="false"/>
                <w:bCs w:val="false"/>
                <w:sz w:val="17"/>
                <w:szCs w:val="17"/>
              </w:rPr>
              <w:t xml:space="preserve">HR12-23-1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Errors, degraded mode &amp; recovery UX; HR focus: diagnostic-detail exposure.</w:t>
            </w:r>
          </w:p>
        </w:tc>
        <w:tc>
          <w:tcPr>
            <w:tcW w:type="dxa" w:w="2600"/>
            <w:tcMar>
              <w:top w:type="dxa" w:w="60"/>
              <w:left w:type="dxa" w:w="80"/>
              <w:bottom w:type="dxa" w:w="60"/>
              <w:right w:type="dxa" w:w="80"/>
            </w:tcMar>
          </w:tcPr>
          <w:p>
            <w:r>
              <w:rPr>
                <w:b w:val="false"/>
                <w:bCs w:val="false"/>
                <w:sz w:val="17"/>
                <w:szCs w:val="17"/>
              </w:rPr>
              <w:t xml:space="preserve">§24.0-24.2, Table 31 (RACI), HR12-24-1.</w:t>
            </w:r>
          </w:p>
        </w:tc>
        <w:tc>
          <w:tcPr>
            <w:tcW w:type="dxa" w:w="2400"/>
            <w:tcMar>
              <w:top w:type="dxa" w:w="60"/>
              <w:left w:type="dxa" w:w="80"/>
              <w:bottom w:type="dxa" w:w="60"/>
              <w:right w:type="dxa" w:w="80"/>
            </w:tcMar>
          </w:tcPr>
          <w:p>
            <w:r>
              <w:rPr>
                <w:b w:val="false"/>
                <w:bCs w:val="false"/>
                <w:sz w:val="17"/>
                <w:szCs w:val="17"/>
              </w:rPr>
              <w:t xml:space="preserve">NCIE-005; NCIE-011; NCIE-009.</w:t>
            </w:r>
          </w:p>
        </w:tc>
        <w:tc>
          <w:tcPr>
            <w:tcW w:type="dxa" w:w="2400"/>
            <w:tcMar>
              <w:top w:type="dxa" w:w="60"/>
              <w:left w:type="dxa" w:w="80"/>
              <w:bottom w:type="dxa" w:w="60"/>
              <w:right w:type="dxa" w:w="80"/>
            </w:tcMar>
          </w:tcPr>
          <w:p>
            <w:r>
              <w:rPr>
                <w:b w:val="false"/>
                <w:bCs w:val="false"/>
                <w:sz w:val="17"/>
                <w:szCs w:val="17"/>
              </w:rPr>
              <w:t xml:space="preserve">HR12-24-1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Forms, data entry &amp; validation; HR focus: draft/autosave/confirmation.</w:t>
            </w:r>
          </w:p>
        </w:tc>
        <w:tc>
          <w:tcPr>
            <w:tcW w:type="dxa" w:w="2600"/>
            <w:tcMar>
              <w:top w:type="dxa" w:w="60"/>
              <w:left w:type="dxa" w:w="80"/>
              <w:bottom w:type="dxa" w:w="60"/>
              <w:right w:type="dxa" w:w="80"/>
            </w:tcMar>
          </w:tcPr>
          <w:p>
            <w:r>
              <w:rPr>
                <w:b w:val="false"/>
                <w:bCs w:val="false"/>
                <w:sz w:val="17"/>
                <w:szCs w:val="17"/>
              </w:rPr>
              <w:t xml:space="preserve">§25.0-25.2, Table 32 (RACI), HR12-25-1.</w:t>
            </w:r>
          </w:p>
        </w:tc>
        <w:tc>
          <w:tcPr>
            <w:tcW w:type="dxa" w:w="2400"/>
            <w:tcMar>
              <w:top w:type="dxa" w:w="60"/>
              <w:left w:type="dxa" w:w="80"/>
              <w:bottom w:type="dxa" w:w="60"/>
              <w:right w:type="dxa" w:w="80"/>
            </w:tcMar>
          </w:tcPr>
          <w:p>
            <w:r>
              <w:rPr>
                <w:b w:val="false"/>
                <w:bCs w:val="false"/>
                <w:sz w:val="17"/>
                <w:szCs w:val="17"/>
              </w:rPr>
              <w:t xml:space="preserve">NCIE-003; NCIE-011; NCIE-008.</w:t>
            </w:r>
          </w:p>
        </w:tc>
        <w:tc>
          <w:tcPr>
            <w:tcW w:type="dxa" w:w="2400"/>
            <w:tcMar>
              <w:top w:type="dxa" w:w="60"/>
              <w:left w:type="dxa" w:w="80"/>
              <w:bottom w:type="dxa" w:w="60"/>
              <w:right w:type="dxa" w:w="80"/>
            </w:tcMar>
          </w:tcPr>
          <w:p>
            <w:r>
              <w:rPr>
                <w:b w:val="false"/>
                <w:bCs w:val="false"/>
                <w:sz w:val="17"/>
                <w:szCs w:val="17"/>
              </w:rPr>
              <w:t xml:space="preserve">HR12-25-1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Case, investigation &amp; workflow UX; HR focus: workflow interaction metaphors.</w:t>
            </w:r>
          </w:p>
        </w:tc>
        <w:tc>
          <w:tcPr>
            <w:tcW w:type="dxa" w:w="2600"/>
            <w:tcMar>
              <w:top w:type="dxa" w:w="60"/>
              <w:left w:type="dxa" w:w="80"/>
              <w:bottom w:type="dxa" w:w="60"/>
              <w:right w:type="dxa" w:w="80"/>
            </w:tcMar>
          </w:tcPr>
          <w:p>
            <w:r>
              <w:rPr>
                <w:b w:val="false"/>
                <w:bCs w:val="false"/>
                <w:sz w:val="17"/>
                <w:szCs w:val="17"/>
              </w:rPr>
              <w:t xml:space="preserve">§26.0-26.2, Table 33 (RACI), HR12-26-1.</w:t>
            </w:r>
          </w:p>
        </w:tc>
        <w:tc>
          <w:tcPr>
            <w:tcW w:type="dxa" w:w="2400"/>
            <w:tcMar>
              <w:top w:type="dxa" w:w="60"/>
              <w:left w:type="dxa" w:w="80"/>
              <w:bottom w:type="dxa" w:w="60"/>
              <w:right w:type="dxa" w:w="80"/>
            </w:tcMar>
          </w:tcPr>
          <w:p>
            <w:r>
              <w:rPr>
                <w:b w:val="false"/>
                <w:bCs w:val="false"/>
                <w:sz w:val="17"/>
                <w:szCs w:val="17"/>
              </w:rPr>
              <w:t xml:space="preserve">NCIE-001/002; NCIE-010.</w:t>
            </w:r>
          </w:p>
        </w:tc>
        <w:tc>
          <w:tcPr>
            <w:tcW w:type="dxa" w:w="2400"/>
            <w:tcMar>
              <w:top w:type="dxa" w:w="60"/>
              <w:left w:type="dxa" w:w="80"/>
              <w:bottom w:type="dxa" w:w="60"/>
              <w:right w:type="dxa" w:w="80"/>
            </w:tcMar>
          </w:tcPr>
          <w:p>
            <w:r>
              <w:rPr>
                <w:b w:val="false"/>
                <w:bCs w:val="false"/>
                <w:sz w:val="17"/>
                <w:szCs w:val="17"/>
              </w:rPr>
              <w:t xml:space="preserve">HR12-26-1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Collaboration, Rooms &amp; shared Context UX; HR focus: presence/participant visibility.</w:t>
            </w:r>
          </w:p>
        </w:tc>
        <w:tc>
          <w:tcPr>
            <w:tcW w:type="dxa" w:w="2600"/>
            <w:tcMar>
              <w:top w:type="dxa" w:w="60"/>
              <w:left w:type="dxa" w:w="80"/>
              <w:bottom w:type="dxa" w:w="60"/>
              <w:right w:type="dxa" w:w="80"/>
            </w:tcMar>
          </w:tcPr>
          <w:p>
            <w:r>
              <w:rPr>
                <w:b w:val="false"/>
                <w:bCs w:val="false"/>
                <w:sz w:val="17"/>
                <w:szCs w:val="17"/>
              </w:rPr>
              <w:t xml:space="preserve">§27.0-27.2, Table 34 (RACI), HR12-27-1.</w:t>
            </w:r>
          </w:p>
        </w:tc>
        <w:tc>
          <w:tcPr>
            <w:tcW w:type="dxa" w:w="2400"/>
            <w:tcMar>
              <w:top w:type="dxa" w:w="60"/>
              <w:left w:type="dxa" w:w="80"/>
              <w:bottom w:type="dxa" w:w="60"/>
              <w:right w:type="dxa" w:w="80"/>
            </w:tcMar>
          </w:tcPr>
          <w:p>
            <w:r>
              <w:rPr>
                <w:b w:val="false"/>
                <w:bCs w:val="false"/>
                <w:sz w:val="17"/>
                <w:szCs w:val="17"/>
              </w:rPr>
              <w:t xml:space="preserve">NCIE-005 Rooms; NCIE-006; NCIE-007.</w:t>
            </w:r>
          </w:p>
        </w:tc>
        <w:tc>
          <w:tcPr>
            <w:tcW w:type="dxa" w:w="2400"/>
            <w:tcMar>
              <w:top w:type="dxa" w:w="60"/>
              <w:left w:type="dxa" w:w="80"/>
              <w:bottom w:type="dxa" w:w="60"/>
              <w:right w:type="dxa" w:w="80"/>
            </w:tcMar>
          </w:tcPr>
          <w:p>
            <w:r>
              <w:rPr>
                <w:b w:val="false"/>
                <w:bCs w:val="false"/>
                <w:sz w:val="17"/>
                <w:szCs w:val="17"/>
              </w:rPr>
              <w:t xml:space="preserve">HR12-27-1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Personalization, preferences &amp; saved views; HR focus: personalization scope.</w:t>
            </w:r>
          </w:p>
        </w:tc>
        <w:tc>
          <w:tcPr>
            <w:tcW w:type="dxa" w:w="2600"/>
            <w:tcMar>
              <w:top w:type="dxa" w:w="60"/>
              <w:left w:type="dxa" w:w="80"/>
              <w:bottom w:type="dxa" w:w="60"/>
              <w:right w:type="dxa" w:w="80"/>
            </w:tcMar>
          </w:tcPr>
          <w:p>
            <w:r>
              <w:rPr>
                <w:b w:val="false"/>
                <w:bCs w:val="false"/>
                <w:sz w:val="17"/>
                <w:szCs w:val="17"/>
              </w:rPr>
              <w:t xml:space="preserve">§28.0-28.2, Table 35 (RACI), HR12-28-1.</w:t>
            </w:r>
          </w:p>
        </w:tc>
        <w:tc>
          <w:tcPr>
            <w:tcW w:type="dxa" w:w="2400"/>
            <w:tcMar>
              <w:top w:type="dxa" w:w="60"/>
              <w:left w:type="dxa" w:w="80"/>
              <w:bottom w:type="dxa" w:w="60"/>
              <w:right w:type="dxa" w:w="80"/>
            </w:tcMar>
          </w:tcPr>
          <w:p>
            <w:r>
              <w:rPr>
                <w:b w:val="false"/>
                <w:bCs w:val="false"/>
                <w:sz w:val="17"/>
                <w:szCs w:val="17"/>
              </w:rPr>
              <w:t xml:space="preserve">NCIE-005; NCIE-006 Preference Memory.</w:t>
            </w:r>
          </w:p>
        </w:tc>
        <w:tc>
          <w:tcPr>
            <w:tcW w:type="dxa" w:w="2400"/>
            <w:tcMar>
              <w:top w:type="dxa" w:w="60"/>
              <w:left w:type="dxa" w:w="80"/>
              <w:bottom w:type="dxa" w:w="60"/>
              <w:right w:type="dxa" w:w="80"/>
            </w:tcMar>
          </w:tcPr>
          <w:p>
            <w:r>
              <w:rPr>
                <w:b w:val="false"/>
                <w:bCs w:val="false"/>
                <w:sz w:val="17"/>
                <w:szCs w:val="17"/>
              </w:rPr>
              <w:t xml:space="preserve">HR12-28-1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29</w:t>
            </w:r>
          </w:p>
        </w:tc>
        <w:tc>
          <w:tcPr>
            <w:tcW w:type="dxa" w:w="3200"/>
            <w:tcMar>
              <w:top w:type="dxa" w:w="60"/>
              <w:left w:type="dxa" w:w="80"/>
              <w:bottom w:type="dxa" w:w="60"/>
              <w:right w:type="dxa" w:w="80"/>
            </w:tcMar>
          </w:tcPr>
          <w:p>
            <w:r>
              <w:rPr>
                <w:b w:val="false"/>
                <w:bCs w:val="false"/>
                <w:sz w:val="17"/>
                <w:szCs w:val="17"/>
              </w:rPr>
              <w:t xml:space="preserve">Accessibility &amp; inclusive design; HR focus: target accessibility standard/level.</w:t>
            </w:r>
          </w:p>
        </w:tc>
        <w:tc>
          <w:tcPr>
            <w:tcW w:type="dxa" w:w="2600"/>
            <w:tcMar>
              <w:top w:type="dxa" w:w="60"/>
              <w:left w:type="dxa" w:w="80"/>
              <w:bottom w:type="dxa" w:w="60"/>
              <w:right w:type="dxa" w:w="80"/>
            </w:tcMar>
          </w:tcPr>
          <w:p>
            <w:r>
              <w:rPr>
                <w:b w:val="false"/>
                <w:bCs w:val="false"/>
                <w:sz w:val="17"/>
                <w:szCs w:val="17"/>
              </w:rPr>
              <w:t xml:space="preserve">§29.0-29.3, Table 36 Accessibility Matrix (item 64), Table 37 (RACI), HR12-29-1.</w:t>
            </w:r>
          </w:p>
        </w:tc>
        <w:tc>
          <w:tcPr>
            <w:tcW w:type="dxa" w:w="2400"/>
            <w:tcMar>
              <w:top w:type="dxa" w:w="60"/>
              <w:left w:type="dxa" w:w="80"/>
              <w:bottom w:type="dxa" w:w="60"/>
              <w:right w:type="dxa" w:w="80"/>
            </w:tcMar>
          </w:tcPr>
          <w:p>
            <w:r>
              <w:rPr>
                <w:b w:val="false"/>
                <w:bCs w:val="false"/>
                <w:sz w:val="17"/>
                <w:szCs w:val="17"/>
              </w:rPr>
              <w:t xml:space="preserve">NCIE-002 Ch.30; NCIE-005 Ch.32.</w:t>
            </w:r>
          </w:p>
        </w:tc>
        <w:tc>
          <w:tcPr>
            <w:tcW w:type="dxa" w:w="2400"/>
            <w:tcMar>
              <w:top w:type="dxa" w:w="60"/>
              <w:left w:type="dxa" w:w="80"/>
              <w:bottom w:type="dxa" w:w="60"/>
              <w:right w:type="dxa" w:w="80"/>
            </w:tcMar>
          </w:tcPr>
          <w:p>
            <w:r>
              <w:rPr>
                <w:b w:val="false"/>
                <w:bCs w:val="false"/>
                <w:sz w:val="17"/>
                <w:szCs w:val="17"/>
              </w:rPr>
              <w:t xml:space="preserve">HR12-29-1 preserved verbatim, reclassified LEGAL/POLICY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30</w:t>
            </w:r>
          </w:p>
        </w:tc>
        <w:tc>
          <w:tcPr>
            <w:tcW w:type="dxa" w:w="3200"/>
            <w:tcMar>
              <w:top w:type="dxa" w:w="60"/>
              <w:left w:type="dxa" w:w="80"/>
              <w:bottom w:type="dxa" w:w="60"/>
              <w:right w:type="dxa" w:w="80"/>
            </w:tcMar>
          </w:tcPr>
          <w:p>
            <w:r>
              <w:rPr>
                <w:b w:val="false"/>
                <w:bCs w:val="false"/>
                <w:sz w:val="17"/>
                <w:szCs w:val="17"/>
              </w:rPr>
              <w:t xml:space="preserve">Localization, language &amp; formatting; HR focus: languages/locales.</w:t>
            </w:r>
          </w:p>
        </w:tc>
        <w:tc>
          <w:tcPr>
            <w:tcW w:type="dxa" w:w="2600"/>
            <w:tcMar>
              <w:top w:type="dxa" w:w="60"/>
              <w:left w:type="dxa" w:w="80"/>
              <w:bottom w:type="dxa" w:w="60"/>
              <w:right w:type="dxa" w:w="80"/>
            </w:tcMar>
          </w:tcPr>
          <w:p>
            <w:r>
              <w:rPr>
                <w:b w:val="false"/>
                <w:bCs w:val="false"/>
                <w:sz w:val="17"/>
                <w:szCs w:val="17"/>
              </w:rPr>
              <w:t xml:space="preserve">§30.0-30.2, Table 38 (RACI), HR12-30-1.</w:t>
            </w:r>
          </w:p>
        </w:tc>
        <w:tc>
          <w:tcPr>
            <w:tcW w:type="dxa" w:w="2400"/>
            <w:tcMar>
              <w:top w:type="dxa" w:w="60"/>
              <w:left w:type="dxa" w:w="80"/>
              <w:bottom w:type="dxa" w:w="60"/>
              <w:right w:type="dxa" w:w="80"/>
            </w:tcMar>
          </w:tcPr>
          <w:p>
            <w:r>
              <w:rPr>
                <w:b w:val="false"/>
                <w:bCs w:val="false"/>
                <w:sz w:val="17"/>
                <w:szCs w:val="17"/>
              </w:rPr>
              <w:t xml:space="preserve">NCIE-003 temporal; NCIE-005 language/voice.</w:t>
            </w:r>
          </w:p>
        </w:tc>
        <w:tc>
          <w:tcPr>
            <w:tcW w:type="dxa" w:w="2400"/>
            <w:tcMar>
              <w:top w:type="dxa" w:w="60"/>
              <w:left w:type="dxa" w:w="80"/>
              <w:bottom w:type="dxa" w:w="60"/>
              <w:right w:type="dxa" w:w="80"/>
            </w:tcMar>
          </w:tcPr>
          <w:p>
            <w:r>
              <w:rPr>
                <w:b w:val="false"/>
                <w:bCs w:val="false"/>
                <w:sz w:val="17"/>
                <w:szCs w:val="17"/>
              </w:rPr>
              <w:t xml:space="preserve">HR12-30-1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31</w:t>
            </w:r>
          </w:p>
        </w:tc>
        <w:tc>
          <w:tcPr>
            <w:tcW w:type="dxa" w:w="3200"/>
            <w:tcMar>
              <w:top w:type="dxa" w:w="60"/>
              <w:left w:type="dxa" w:w="80"/>
              <w:bottom w:type="dxa" w:w="60"/>
              <w:right w:type="dxa" w:w="80"/>
            </w:tcMar>
          </w:tcPr>
          <w:p>
            <w:r>
              <w:rPr>
                <w:b w:val="false"/>
                <w:bCs w:val="false"/>
                <w:sz w:val="17"/>
                <w:szCs w:val="17"/>
              </w:rPr>
              <w:t xml:space="preserve">UX performance, responsiveness &amp; interaction NFRs; HR focus: measurable UX targets.</w:t>
            </w:r>
          </w:p>
        </w:tc>
        <w:tc>
          <w:tcPr>
            <w:tcW w:type="dxa" w:w="2600"/>
            <w:tcMar>
              <w:top w:type="dxa" w:w="60"/>
              <w:left w:type="dxa" w:w="80"/>
              <w:bottom w:type="dxa" w:w="60"/>
              <w:right w:type="dxa" w:w="80"/>
            </w:tcMar>
          </w:tcPr>
          <w:p>
            <w:r>
              <w:rPr>
                <w:b w:val="false"/>
                <w:bCs w:val="false"/>
                <w:sz w:val="17"/>
                <w:szCs w:val="17"/>
              </w:rPr>
              <w:t xml:space="preserve">§31.0-31.2, Table 39 (RACI), HR12-31-1.</w:t>
            </w:r>
          </w:p>
        </w:tc>
        <w:tc>
          <w:tcPr>
            <w:tcW w:type="dxa" w:w="2400"/>
            <w:tcMar>
              <w:top w:type="dxa" w:w="60"/>
              <w:left w:type="dxa" w:w="80"/>
              <w:bottom w:type="dxa" w:w="60"/>
              <w:right w:type="dxa" w:w="80"/>
            </w:tcMar>
          </w:tcPr>
          <w:p>
            <w:r>
              <w:rPr>
                <w:b w:val="false"/>
                <w:bCs w:val="false"/>
                <w:sz w:val="17"/>
                <w:szCs w:val="17"/>
              </w:rPr>
              <w:t xml:space="preserve">NCIE-002 Ch.30; NCIE-005 Ch.32; NCIE-011 async.</w:t>
            </w:r>
          </w:p>
        </w:tc>
        <w:tc>
          <w:tcPr>
            <w:tcW w:type="dxa" w:w="2400"/>
            <w:tcMar>
              <w:top w:type="dxa" w:w="60"/>
              <w:left w:type="dxa" w:w="80"/>
              <w:bottom w:type="dxa" w:w="60"/>
              <w:right w:type="dxa" w:w="80"/>
            </w:tcMar>
          </w:tcPr>
          <w:p>
            <w:r>
              <w:rPr>
                <w:b w:val="false"/>
                <w:bCs w:val="false"/>
                <w:sz w:val="17"/>
                <w:szCs w:val="17"/>
              </w:rPr>
              <w:t xml:space="preserve">HR12-31-1 preserved verbatim, reclassified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32</w:t>
            </w:r>
          </w:p>
        </w:tc>
        <w:tc>
          <w:tcPr>
            <w:tcW w:type="dxa" w:w="3200"/>
            <w:tcMar>
              <w:top w:type="dxa" w:w="60"/>
              <w:left w:type="dxa" w:w="80"/>
              <w:bottom w:type="dxa" w:w="60"/>
              <w:right w:type="dxa" w:w="80"/>
            </w:tcMar>
          </w:tcPr>
          <w:p>
            <w:r>
              <w:rPr>
                <w:b w:val="false"/>
                <w:bCs w:val="false"/>
                <w:sz w:val="17"/>
                <w:szCs w:val="17"/>
              </w:rPr>
              <w:t xml:space="preserve">UX analytics, feedback &amp; usability evaluation; HR focus: analytics/research governance.</w:t>
            </w:r>
          </w:p>
        </w:tc>
        <w:tc>
          <w:tcPr>
            <w:tcW w:type="dxa" w:w="2600"/>
            <w:tcMar>
              <w:top w:type="dxa" w:w="60"/>
              <w:left w:type="dxa" w:w="80"/>
              <w:bottom w:type="dxa" w:w="60"/>
              <w:right w:type="dxa" w:w="80"/>
            </w:tcMar>
          </w:tcPr>
          <w:p>
            <w:r>
              <w:rPr>
                <w:b w:val="false"/>
                <w:bCs w:val="false"/>
                <w:sz w:val="17"/>
                <w:szCs w:val="17"/>
              </w:rPr>
              <w:t xml:space="preserve">§32.0-32.2, Table 40 (RACI), HR12-32-1.</w:t>
            </w:r>
          </w:p>
        </w:tc>
        <w:tc>
          <w:tcPr>
            <w:tcW w:type="dxa" w:w="2400"/>
            <w:tcMar>
              <w:top w:type="dxa" w:w="60"/>
              <w:left w:type="dxa" w:w="80"/>
              <w:bottom w:type="dxa" w:w="60"/>
              <w:right w:type="dxa" w:w="80"/>
            </w:tcMar>
          </w:tcPr>
          <w:p>
            <w:r>
              <w:rPr>
                <w:b w:val="false"/>
                <w:bCs w:val="false"/>
                <w:sz w:val="17"/>
                <w:szCs w:val="17"/>
              </w:rPr>
              <w:t xml:space="preserve">NCIE-009 privacy/logging; NCIE-008.</w:t>
            </w:r>
          </w:p>
        </w:tc>
        <w:tc>
          <w:tcPr>
            <w:tcW w:type="dxa" w:w="2400"/>
            <w:tcMar>
              <w:top w:type="dxa" w:w="60"/>
              <w:left w:type="dxa" w:w="80"/>
              <w:bottom w:type="dxa" w:w="60"/>
              <w:right w:type="dxa" w:w="80"/>
            </w:tcMar>
          </w:tcPr>
          <w:p>
            <w:r>
              <w:rPr>
                <w:b w:val="false"/>
                <w:bCs w:val="false"/>
                <w:sz w:val="17"/>
                <w:szCs w:val="17"/>
              </w:rPr>
              <w:t xml:space="preserve">HR12-32-1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33</w:t>
            </w:r>
          </w:p>
        </w:tc>
        <w:tc>
          <w:tcPr>
            <w:tcW w:type="dxa" w:w="3200"/>
            <w:tcMar>
              <w:top w:type="dxa" w:w="60"/>
              <w:left w:type="dxa" w:w="80"/>
              <w:bottom w:type="dxa" w:w="60"/>
              <w:right w:type="dxa" w:w="80"/>
            </w:tcMar>
          </w:tcPr>
          <w:p>
            <w:r>
              <w:rPr>
                <w:b w:val="false"/>
                <w:bCs w:val="false"/>
                <w:sz w:val="17"/>
                <w:szCs w:val="17"/>
              </w:rPr>
              <w:t xml:space="preserve">Design System governance &amp; change control; HR focus: design-system approval authority.</w:t>
            </w:r>
          </w:p>
        </w:tc>
        <w:tc>
          <w:tcPr>
            <w:tcW w:type="dxa" w:w="2600"/>
            <w:tcMar>
              <w:top w:type="dxa" w:w="60"/>
              <w:left w:type="dxa" w:w="80"/>
              <w:bottom w:type="dxa" w:w="60"/>
              <w:right w:type="dxa" w:w="80"/>
            </w:tcMar>
          </w:tcPr>
          <w:p>
            <w:r>
              <w:rPr>
                <w:b w:val="false"/>
                <w:bCs w:val="false"/>
                <w:sz w:val="17"/>
                <w:szCs w:val="17"/>
              </w:rPr>
              <w:t xml:space="preserve">§33.0-33.2, Table 41 (RACI), HR12-33-1.</w:t>
            </w:r>
          </w:p>
        </w:tc>
        <w:tc>
          <w:tcPr>
            <w:tcW w:type="dxa" w:w="2400"/>
            <w:tcMar>
              <w:top w:type="dxa" w:w="60"/>
              <w:left w:type="dxa" w:w="80"/>
              <w:bottom w:type="dxa" w:w="60"/>
              <w:right w:type="dxa" w:w="80"/>
            </w:tcMar>
          </w:tcPr>
          <w:p>
            <w:r>
              <w:rPr>
                <w:b w:val="false"/>
                <w:bCs w:val="false"/>
                <w:sz w:val="17"/>
                <w:szCs w:val="17"/>
              </w:rPr>
              <w:t xml:space="preserve">NCIE-008; NCIE-004.</w:t>
            </w:r>
          </w:p>
        </w:tc>
        <w:tc>
          <w:tcPr>
            <w:tcW w:type="dxa" w:w="2400"/>
            <w:tcMar>
              <w:top w:type="dxa" w:w="60"/>
              <w:left w:type="dxa" w:w="80"/>
              <w:bottom w:type="dxa" w:w="60"/>
              <w:right w:type="dxa" w:w="80"/>
            </w:tcMar>
          </w:tcPr>
          <w:p>
            <w:r>
              <w:rPr>
                <w:b w:val="false"/>
                <w:bCs w:val="false"/>
                <w:sz w:val="17"/>
                <w:szCs w:val="17"/>
              </w:rPr>
              <w:t xml:space="preserve">HR12-33-1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34</w:t>
            </w:r>
          </w:p>
        </w:tc>
        <w:tc>
          <w:tcPr>
            <w:tcW w:type="dxa" w:w="3200"/>
            <w:tcMar>
              <w:top w:type="dxa" w:w="60"/>
              <w:left w:type="dxa" w:w="80"/>
              <w:bottom w:type="dxa" w:w="60"/>
              <w:right w:type="dxa" w:w="80"/>
            </w:tcMar>
          </w:tcPr>
          <w:p>
            <w:r>
              <w:rPr>
                <w:b w:val="false"/>
                <w:bCs w:val="false"/>
                <w:sz w:val="17"/>
                <w:szCs w:val="17"/>
              </w:rPr>
              <w:t xml:space="preserve">Prototyping, user validation &amp; design acceptance; HR focus: validation participants/acceptance authority.</w:t>
            </w:r>
          </w:p>
        </w:tc>
        <w:tc>
          <w:tcPr>
            <w:tcW w:type="dxa" w:w="2600"/>
            <w:tcMar>
              <w:top w:type="dxa" w:w="60"/>
              <w:left w:type="dxa" w:w="80"/>
              <w:bottom w:type="dxa" w:w="60"/>
              <w:right w:type="dxa" w:w="80"/>
            </w:tcMar>
          </w:tcPr>
          <w:p>
            <w:r>
              <w:rPr>
                <w:b w:val="false"/>
                <w:bCs w:val="false"/>
                <w:sz w:val="17"/>
                <w:szCs w:val="17"/>
              </w:rPr>
              <w:t xml:space="preserve">§34.0-34.2, Table 42 (RACI), HR12-34-1.</w:t>
            </w:r>
          </w:p>
        </w:tc>
        <w:tc>
          <w:tcPr>
            <w:tcW w:type="dxa" w:w="2400"/>
            <w:tcMar>
              <w:top w:type="dxa" w:w="60"/>
              <w:left w:type="dxa" w:w="80"/>
              <w:bottom w:type="dxa" w:w="60"/>
              <w:right w:type="dxa" w:w="80"/>
            </w:tcMar>
          </w:tcPr>
          <w:p>
            <w:r>
              <w:rPr>
                <w:b w:val="false"/>
                <w:bCs w:val="false"/>
                <w:sz w:val="17"/>
                <w:szCs w:val="17"/>
              </w:rPr>
              <w:t xml:space="preserve">NCIE-002 proposed representative-user confirmation; NCIE-008.</w:t>
            </w:r>
          </w:p>
        </w:tc>
        <w:tc>
          <w:tcPr>
            <w:tcW w:type="dxa" w:w="2400"/>
            <w:tcMar>
              <w:top w:type="dxa" w:w="60"/>
              <w:left w:type="dxa" w:w="80"/>
              <w:bottom w:type="dxa" w:w="60"/>
              <w:right w:type="dxa" w:w="80"/>
            </w:tcMar>
          </w:tcPr>
          <w:p>
            <w:r>
              <w:rPr>
                <w:b w:val="false"/>
                <w:bCs w:val="false"/>
                <w:sz w:val="17"/>
                <w:szCs w:val="17"/>
              </w:rPr>
              <w:t xml:space="preserve">HR12-34-1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35</w:t>
            </w:r>
          </w:p>
        </w:tc>
        <w:tc>
          <w:tcPr>
            <w:tcW w:type="dxa" w:w="3200"/>
            <w:tcMar>
              <w:top w:type="dxa" w:w="60"/>
              <w:left w:type="dxa" w:w="80"/>
              <w:bottom w:type="dxa" w:w="60"/>
              <w:right w:type="dxa" w:w="80"/>
            </w:tcMar>
          </w:tcPr>
          <w:p>
            <w:r>
              <w:rPr>
                <w:b w:val="false"/>
                <w:bCs w:val="false"/>
                <w:sz w:val="17"/>
                <w:szCs w:val="17"/>
              </w:rPr>
              <w:t xml:space="preserve">UX testing, accessibility verification &amp; acceptance; HR focus: test acceptance/representative-user coverage.</w:t>
            </w:r>
          </w:p>
        </w:tc>
        <w:tc>
          <w:tcPr>
            <w:tcW w:type="dxa" w:w="2600"/>
            <w:tcMar>
              <w:top w:type="dxa" w:w="60"/>
              <w:left w:type="dxa" w:w="80"/>
              <w:bottom w:type="dxa" w:w="60"/>
              <w:right w:type="dxa" w:w="80"/>
            </w:tcMar>
          </w:tcPr>
          <w:p>
            <w:r>
              <w:rPr>
                <w:b w:val="false"/>
                <w:bCs w:val="false"/>
                <w:sz w:val="17"/>
                <w:szCs w:val="17"/>
              </w:rPr>
              <w:t xml:space="preserve">§35.0-35.2, Table 43 (8 test classes, directive item 55), Table 44 (RACI), HR12-35-1.</w:t>
            </w:r>
          </w:p>
        </w:tc>
        <w:tc>
          <w:tcPr>
            <w:tcW w:type="dxa" w:w="2400"/>
            <w:tcMar>
              <w:top w:type="dxa" w:w="60"/>
              <w:left w:type="dxa" w:w="80"/>
              <w:bottom w:type="dxa" w:w="60"/>
              <w:right w:type="dxa" w:w="80"/>
            </w:tcMar>
          </w:tcPr>
          <w:p>
            <w:r>
              <w:rPr>
                <w:b w:val="false"/>
                <w:bCs w:val="false"/>
                <w:sz w:val="17"/>
                <w:szCs w:val="17"/>
              </w:rPr>
              <w:t xml:space="preserve">NCIE-002/005 NFRs; NCIE-009; NCIE-016 (downstream).</w:t>
            </w:r>
          </w:p>
        </w:tc>
        <w:tc>
          <w:tcPr>
            <w:tcW w:type="dxa" w:w="2400"/>
            <w:tcMar>
              <w:top w:type="dxa" w:w="60"/>
              <w:left w:type="dxa" w:w="80"/>
              <w:bottom w:type="dxa" w:w="60"/>
              <w:right w:type="dxa" w:w="80"/>
            </w:tcMar>
          </w:tcPr>
          <w:p>
            <w:r>
              <w:rPr>
                <w:b w:val="false"/>
                <w:bCs w:val="false"/>
                <w:sz w:val="17"/>
                <w:szCs w:val="17"/>
              </w:rPr>
              <w:t xml:space="preserve">HR12-35-1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36</w:t>
            </w:r>
          </w:p>
        </w:tc>
        <w:tc>
          <w:tcPr>
            <w:tcW w:type="dxa" w:w="3200"/>
            <w:tcMar>
              <w:top w:type="dxa" w:w="60"/>
              <w:left w:type="dxa" w:w="80"/>
              <w:bottom w:type="dxa" w:w="60"/>
              <w:right w:type="dxa" w:w="80"/>
            </w:tcMar>
          </w:tcPr>
          <w:p>
            <w:r>
              <w:rPr>
                <w:b w:val="false"/>
                <w:bCs w:val="false"/>
                <w:sz w:val="17"/>
                <w:szCs w:val="17"/>
              </w:rPr>
              <w:t xml:space="preserve">Human Review Register &amp; open UX decisions; HR focus: review/decide register items.</w:t>
            </w:r>
          </w:p>
        </w:tc>
        <w:tc>
          <w:tcPr>
            <w:tcW w:type="dxa" w:w="2600"/>
            <w:tcMar>
              <w:top w:type="dxa" w:w="60"/>
              <w:left w:type="dxa" w:w="80"/>
              <w:bottom w:type="dxa" w:w="60"/>
              <w:right w:type="dxa" w:w="80"/>
            </w:tcMar>
          </w:tcPr>
          <w:p>
            <w:r>
              <w:rPr>
                <w:b w:val="false"/>
                <w:bCs w:val="false"/>
                <w:sz w:val="17"/>
                <w:szCs w:val="17"/>
              </w:rPr>
              <w:t xml:space="preserve">§36.0-36.6, Table 45 (summary), Table 46 (complete register, 37 items), HR12-36-1.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65); approved Skeletal v0.1 Chapter 36 Salient Things to Note.</w:t>
            </w:r>
          </w:p>
        </w:tc>
        <w:tc>
          <w:tcPr>
            <w:tcW w:type="dxa" w:w="2400"/>
            <w:tcMar>
              <w:top w:type="dxa" w:w="60"/>
              <w:left w:type="dxa" w:w="80"/>
              <w:bottom w:type="dxa" w:w="60"/>
              <w:right w:type="dxa" w:w="80"/>
            </w:tcMar>
          </w:tcPr>
          <w:p>
            <w:r>
              <w:rPr>
                <w:b w:val="false"/>
                <w:bCs w:val="false"/>
                <w:sz w:val="17"/>
                <w:szCs w:val="17"/>
              </w:rPr>
              <w:t xml:space="preserve">HR12-36-1 (this chapter's own item) included in Table 46 and totals from the start — the NCIE-008 register-reconciliation defect and NCIE-009 salient-note omission were both designed around, not repeated. All 37 items consolidated.</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37</w:t>
            </w:r>
          </w:p>
        </w:tc>
        <w:tc>
          <w:tcPr>
            <w:tcW w:type="dxa" w:w="3200"/>
            <w:tcMar>
              <w:top w:type="dxa" w:w="60"/>
              <w:left w:type="dxa" w:w="80"/>
              <w:bottom w:type="dxa" w:w="60"/>
              <w:right w:type="dxa" w:w="80"/>
            </w:tcMar>
          </w:tcPr>
          <w:p>
            <w:r>
              <w:rPr>
                <w:b w:val="false"/>
                <w:bCs w:val="false"/>
                <w:sz w:val="17"/>
                <w:szCs w:val="17"/>
              </w:rPr>
              <w:t xml:space="preserve">Traceability, acceptance &amp; downstream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§37.0-37.6, Table 47 (traceability matrix, 37 rows), Table 48 (downstream handover, 3 rows), HR12-37-1.</w:t>
            </w:r>
          </w:p>
        </w:tc>
        <w:tc>
          <w:tcPr>
            <w:tcW w:type="dxa" w:w="2400"/>
            <w:tcMar>
              <w:top w:type="dxa" w:w="60"/>
              <w:left w:type="dxa" w:w="80"/>
              <w:bottom w:type="dxa" w:w="60"/>
              <w:right w:type="dxa" w:w="80"/>
            </w:tcMar>
          </w:tcPr>
          <w:p>
            <w:r>
              <w:rPr>
                <w:b w:val="false"/>
                <w:bCs w:val="false"/>
                <w:sz w:val="17"/>
                <w:szCs w:val="17"/>
              </w:rPr>
              <w:t xml:space="preserve">Approved NCIE-001-011; approved NCIE-012 Skeletal v0.1.</w:t>
            </w:r>
          </w:p>
        </w:tc>
        <w:tc>
          <w:tcPr>
            <w:tcW w:type="dxa" w:w="2400"/>
            <w:tcMar>
              <w:top w:type="dxa" w:w="60"/>
              <w:left w:type="dxa" w:w="80"/>
              <w:bottom w:type="dxa" w:w="60"/>
              <w:right w:type="dxa" w:w="80"/>
            </w:tcMar>
          </w:tcPr>
          <w:p>
            <w:r>
              <w:rPr>
                <w:b w:val="false"/>
                <w:bCs w:val="false"/>
                <w:sz w:val="17"/>
                <w:szCs w:val="17"/>
              </w:rPr>
              <w:t xml:space="preserve">HR12-37-1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Matrices Added (Directive Items 58-64)</w:t>
      </w:r>
    </w:p>
    <w:p>
      <w:pPr>
        <w:spacing w:after="200"/>
      </w:pPr>
      <w:r>
        <w:rPr>
          <w:sz w:val="19"/>
          <w:szCs w:val="19"/>
        </w:rPr>
        <w:t xml:space="preserve">Table 3 (Chapter 2) — UX State Matrix, mapping upstream authoritative state classes to permitted and prohibited UX representations. Table 5 (Chapter 3) — Role/Workspace Matrix. Table 18 (Chapter 15) — ARGUS/Agent/VPF Presentation Matrix. Table 21 (Chapter 17) — Security-State Matrix. Table 25 (Chapter 20) — Evidence-State Matrix. Table 29 (Chapter 23) — Async/Outcome Matrix. Table 36 (Chapter 29) — Accessibility Matrix.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37 Human Review items total: 35 items from Chapters 1-35 (one per chapter, mechanically extracted from each chapter's own Human Review Focus bullet text), plus HR12-36-1 (Chapter 36's own item) and HR12-37-1 (Chapter 37's own item) — both defined once and included in the register from the start, per the lessons learned from the NCIE-008 v1.0 correction (register-reconciliation omission) and the NCIE-009 v1.0 correction (Salient Things to Note omission), rather than discovered afterward. Classification breakdown: 25 Institutional Confirmation Required, 6 Security/Sovereignty Confirmation Required, 1 Legal/Policy Confirmation Required, 3 Engineering/Infrastructure Discovery Required, 1 Proposed Design Default, 1 Resolved by Upstream Baseline. 28 Blocking / 9 Non-Blocking. One item, HR12-1-1, is cross-referenced (not duplicated) against the identical institutional question already open as NCIE-008 HR8-10-1, per directive item 66's upstream-deduplication rule. No item manufactures closure of a decision the approved skeleton, the approved NCIE-008/009/011 layers, or the approved upstream chain does not itself settle.</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 Upstream Dependency/Authority and Human Review Focus from the approved NCIE-012 Skeletal v0.1 is substantively represented in the corresponding v1.0 chapter above, including an explicit Salient Things to Note subsection in all 37 chapters — independently re-verified against the final assembled document by a programmatic scan (directive item 79), not assumed from the build script; none is omitted and none is conceptually inverted (Chapter 37 §37.3).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2026-09-15T11:58:58.388Z</dcterms:created>
  <dcterms:modified xsi:type="dcterms:W3CDTF">2026-09-15T11:58:58.397Z</dcterms:modified>
</cp:coreProperties>
</file>

<file path=docProps/custom.xml><?xml version="1.0" encoding="utf-8"?>
<Properties xmlns="http://schemas.openxmlformats.org/officeDocument/2006/custom-properties" xmlns:vt="http://schemas.openxmlformats.org/officeDocument/2006/docPropsVTypes"/>
</file>