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NCIE-013</w:t>
        <w:br/>
        <w:t>Domain Functional Modules Specification</w:t>
      </w:r>
    </w:p>
    <w:p>
      <w:pPr>
        <w:jc w:val="center"/>
      </w:pPr>
      <w:r>
        <w:rPr>
          <w:b/>
          <w:sz w:val="30"/>
        </w:rPr>
        <w:t>Skeletal Version v0.1 — FOR REVIEW</w:t>
      </w:r>
    </w:p>
    <w:p>
      <w:pPr>
        <w:jc w:val="center"/>
      </w:pPr>
      <w:r>
        <w:t>CHAPTER PURPOSE • SALIENT THINGS TO NOTE • PRINCIPAL COMPONENTS • UPSTREAM DEPENDENCIES / AUTHORITY • HUMAN REVIEW FOCUS</w:t>
      </w:r>
    </w:p>
    <w:p>
      <w:r>
        <w:br w:type="page"/>
      </w:r>
    </w:p>
    <w:p>
      <w:pPr>
        <w:pStyle w:val="Heading1"/>
      </w:pPr>
      <w:r>
        <w:t>Document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FOR REVIEW — NOT APPROVED FOR FULL EXPANSION</w:t>
            </w:r>
          </w:p>
        </w:tc>
      </w:tr>
      <w:tr>
        <w:tc>
          <w:tcPr>
            <w:tcW w:type="dxa" w:w="5040"/>
          </w:tcPr>
          <w:p>
            <w:r>
              <w:t>Edition</w:t>
            </w:r>
          </w:p>
        </w:tc>
        <w:tc>
          <w:tcPr>
            <w:tcW w:type="dxa" w:w="5040"/>
          </w:tcPr>
          <w:p>
            <w:r>
              <w:t>Skeletal v0.1</w:t>
            </w:r>
          </w:p>
        </w:tc>
      </w:tr>
      <w:tr>
        <w:tc>
          <w:tcPr>
            <w:tcW w:type="dxa" w:w="5040"/>
          </w:tcPr>
          <w:p>
            <w:r>
              <w:t>Source-supported mandate</w:t>
            </w:r>
          </w:p>
        </w:tc>
        <w:tc>
          <w:tcPr>
            <w:tcW w:type="dxa" w:w="5040"/>
          </w:tcPr>
          <w:p>
            <w:r>
              <w:t>NCIE-013 owns downstream domain functional-module business logic. NCIE-005 excludes functional-module detail to NCIE-013; NCIE-011 hands over domain connector patterns; NCIE-012 hands over domain-workflow UX patterns.</w:t>
            </w:r>
          </w:p>
        </w:tc>
      </w:tr>
      <w:tr>
        <w:tc>
          <w:tcPr>
            <w:tcW w:type="dxa" w:w="5040"/>
          </w:tcPr>
          <w:p>
            <w:r>
              <w:t>Working title</w:t>
            </w:r>
          </w:p>
        </w:tc>
        <w:tc>
          <w:tcPr>
            <w:tcW w:type="dxa" w:w="5040"/>
          </w:tcPr>
          <w:p>
            <w:r>
              <w:t>NCIE-013 — Domain Functional Modules Specification. The attached chain supports this mandate; reconcile the formal title to the Master Controlled Register if its wording differs.</w:t>
            </w:r>
          </w:p>
        </w:tc>
      </w:tr>
      <w:tr>
        <w:tc>
          <w:tcPr>
            <w:tcW w:type="dxa" w:w="5040"/>
          </w:tcPr>
          <w:p>
            <w:r>
              <w:t>Approved foundation</w:t>
            </w:r>
          </w:p>
        </w:tc>
        <w:tc>
          <w:tcPr>
            <w:tcW w:type="dxa" w:w="5040"/>
          </w:tcPr>
          <w:p>
            <w:r>
              <w:t>NCIE-001 v1.3 through NCIE-012 v1.0</w:t>
            </w:r>
          </w:p>
        </w:tc>
      </w:tr>
      <w:tr>
        <w:tc>
          <w:tcPr>
            <w:tcW w:type="dxa" w:w="5040"/>
          </w:tcPr>
          <w:p>
            <w:r>
              <w:t>Boundary</w:t>
            </w:r>
          </w:p>
        </w:tc>
        <w:tc>
          <w:tcPr>
            <w:tcW w:type="dxa" w:w="5040"/>
          </w:tcPr>
          <w:p>
            <w:r>
              <w:t>NCIE-013 owns domain business rules/workflows/analytical products. It consumes upstream data, ARGUS, Agent, governance, security, Evidence, API and UX architecture without redefining them.</w:t>
            </w:r>
          </w:p>
        </w:tc>
      </w:tr>
      <w:tr>
        <w:tc>
          <w:tcPr>
            <w:tcW w:type="dxa" w:w="5040"/>
          </w:tcPr>
          <w:p>
            <w:r>
              <w:t>Expansion control</w:t>
            </w:r>
          </w:p>
        </w:tc>
        <w:tc>
          <w:tcPr>
            <w:tcW w:type="dxa" w:w="5040"/>
          </w:tcPr>
          <w:p>
            <w:r>
              <w:t>Full expansion requires explicit Human approval of this skeleton.</w:t>
            </w:r>
          </w:p>
        </w:tc>
      </w:tr>
    </w:tbl>
    <w:p>
      <w:pPr>
        <w:pStyle w:val="Heading1"/>
      </w:pPr>
      <w:r>
        <w:t>Proposed Functional-Module Invariants</w:t>
      </w:r>
    </w:p>
    <w:p>
      <w:pPr>
        <w:pStyle w:val="ListBullet"/>
      </w:pPr>
      <w:r>
        <w:t>DOMAIN MODULE ≠ SYSTEM OF RECORD.</w:t>
      </w:r>
    </w:p>
    <w:p>
      <w:pPr>
        <w:pStyle w:val="ListBullet"/>
      </w:pPr>
      <w:r>
        <w:t>DOMAIN LOGIC ≠ CANONICAL DATA OWNERSHIP.</w:t>
      </w:r>
    </w:p>
    <w:p>
      <w:pPr>
        <w:pStyle w:val="ListBullet"/>
      </w:pPr>
      <w:r>
        <w:t>ANALYTICAL SIGNAL ≠ EVIDENCE.</w:t>
      </w:r>
    </w:p>
    <w:p>
      <w:pPr>
        <w:pStyle w:val="ListBullet"/>
      </w:pPr>
      <w:r>
        <w:t>ALERT ≠ FINDING.</w:t>
      </w:r>
    </w:p>
    <w:p>
      <w:pPr>
        <w:pStyle w:val="ListBullet"/>
      </w:pPr>
      <w:r>
        <w:t>SITUATION ≠ INSTITUTIONAL DECISION.</w:t>
      </w:r>
    </w:p>
    <w:p>
      <w:pPr>
        <w:pStyle w:val="ListBullet"/>
      </w:pPr>
      <w:r>
        <w:t>KPI THRESHOLD BREACH ≠ PROVEN VIOLATION.</w:t>
      </w:r>
    </w:p>
    <w:p>
      <w:pPr>
        <w:pStyle w:val="ListBullet"/>
      </w:pPr>
      <w:r>
        <w:t>CORRELATION ≠ CAUSATION.</w:t>
      </w:r>
    </w:p>
    <w:p>
      <w:pPr>
        <w:pStyle w:val="ListBullet"/>
      </w:pPr>
      <w:r>
        <w:t>ANOMALY ≠ FRAUD.</w:t>
      </w:r>
    </w:p>
    <w:p>
      <w:pPr>
        <w:pStyle w:val="ListBullet"/>
      </w:pPr>
      <w:r>
        <w:t>RISK SCORE ≠ GUILT / LIABILITY.</w:t>
      </w:r>
    </w:p>
    <w:p>
      <w:pPr>
        <w:pStyle w:val="ListBullet"/>
      </w:pPr>
      <w:r>
        <w:t>MODEL OUTPUT ≠ REGULATORY FINDING.</w:t>
      </w:r>
    </w:p>
    <w:p>
      <w:pPr>
        <w:pStyle w:val="ListBullet"/>
      </w:pPr>
      <w:r>
        <w:t>VPF PASS ≠ DOMAIN APPROVAL.</w:t>
      </w:r>
    </w:p>
    <w:p>
      <w:pPr>
        <w:pStyle w:val="ListBullet"/>
      </w:pPr>
      <w:r>
        <w:t>ARGUS ASSISTANCE ≠ DOMAIN AUTHORITY.</w:t>
      </w:r>
    </w:p>
    <w:p>
      <w:pPr>
        <w:pStyle w:val="ListBullet"/>
      </w:pPr>
      <w:r>
        <w:t>WORKFLOW STATE ≠ HUMAN APPROVAL.</w:t>
      </w:r>
    </w:p>
    <w:p>
      <w:pPr>
        <w:pStyle w:val="ListBullet"/>
      </w:pPr>
      <w:r>
        <w:t>CONNECTOR AVAILABILITY ≠ SOURCE TRUSTWORTHINESS.</w:t>
      </w:r>
    </w:p>
    <w:p>
      <w:pPr>
        <w:pStyle w:val="ListBullet"/>
      </w:pPr>
      <w:r>
        <w:t>MISSING DATA ≠ ZERO VALUE.</w:t>
      </w:r>
    </w:p>
    <w:p>
      <w:pPr>
        <w:pStyle w:val="ListBullet"/>
      </w:pPr>
      <w:r>
        <w:t>LATE DATA ≠ CURRENT TRUTH.</w:t>
      </w:r>
    </w:p>
    <w:p>
      <w:pPr>
        <w:pStyle w:val="ListBullet"/>
      </w:pPr>
      <w:r>
        <w:t>CROSS-DOMAIN CORRELATION ≠ CROSS-DOMAIN DISCLOSURE AUTHORITY.</w:t>
      </w:r>
    </w:p>
    <w:p>
      <w:pPr>
        <w:pStyle w:val="ListBullet"/>
      </w:pPr>
      <w:r>
        <w:t>AUTOMATION ≠ UNBOUNDED CONSEQUENTIAL ACTION.</w:t>
      </w:r>
    </w:p>
    <w:p>
      <w:pPr>
        <w:pStyle w:val="Heading1"/>
      </w:pPr>
      <w:r>
        <w:t>Proposed Skeletal Chapter Structure</w:t>
      </w:r>
    </w:p>
    <w:p>
      <w:pPr>
        <w:pStyle w:val="Heading2"/>
      </w:pPr>
      <w:r>
        <w:t>Chapter 1 — Mandate, Authority Chain &amp; Domain-Module Boundary</w:t>
      </w:r>
    </w:p>
    <w:p>
      <w:r>
        <w:t>Chapter Purpose. Establish NCIE-013 ownership of functional-module business logic.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Interpret governed domain data without redefining upstream semantics or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Scope</w:t>
      </w:r>
    </w:p>
    <w:p>
      <w:pPr>
        <w:pStyle w:val="ListBullet"/>
      </w:pPr>
      <w:r>
        <w:t>ownership</w:t>
      </w:r>
    </w:p>
    <w:p>
      <w:pPr>
        <w:pStyle w:val="ListBullet"/>
      </w:pPr>
      <w:r>
        <w:t>exclusions</w:t>
      </w:r>
    </w:p>
    <w:p>
      <w:pPr>
        <w:pStyle w:val="ListBullet"/>
      </w:pPr>
      <w:r>
        <w:t>handovers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NCIE-001–012; NCIE-005/011/012 handovers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formal title, acceptance authority and module ownership.</w:t>
      </w:r>
    </w:p>
    <w:p>
      <w:pPr>
        <w:pStyle w:val="Heading2"/>
      </w:pPr>
      <w:r>
        <w:t>Chapter 2 — Cross-Domain Functional Doctrine</w:t>
      </w:r>
    </w:p>
    <w:p>
      <w:r>
        <w:t>Chapter Purpose. Define common business-rule principles.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Signals, alerts, anomalies and scores remain analytical states until governed processes establish Findings/Decisions.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Common states</w:t>
      </w:r>
    </w:p>
    <w:p>
      <w:pPr>
        <w:pStyle w:val="ListBullet"/>
      </w:pPr>
      <w:r>
        <w:t>uncertainty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explainability</w:t>
      </w:r>
    </w:p>
    <w:p>
      <w:pPr>
        <w:pStyle w:val="ListBullet"/>
      </w:pPr>
      <w:r>
        <w:t>human review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NCIE-001/003/008/010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common domain-state vocabulary.</w:t>
      </w:r>
    </w:p>
    <w:p>
      <w:pPr>
        <w:pStyle w:val="Heading2"/>
      </w:pPr>
      <w:r>
        <w:t>Chapter 3 — Module Architecture &amp; Common Lifecycle</w:t>
      </w:r>
    </w:p>
    <w:p>
      <w:r>
        <w:t>Chapter Purpose. Define reusable module lifecycle.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Common lifecycle must not erase domain-specific semantics or approvals.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Observe</w:t>
      </w:r>
    </w:p>
    <w:p>
      <w:pPr>
        <w:pStyle w:val="ListBullet"/>
      </w:pPr>
      <w:r>
        <w:t>validate</w:t>
      </w:r>
    </w:p>
    <w:p>
      <w:pPr>
        <w:pStyle w:val="ListBullet"/>
      </w:pPr>
      <w:r>
        <w:t>contextualize</w:t>
      </w:r>
    </w:p>
    <w:p>
      <w:pPr>
        <w:pStyle w:val="ListBullet"/>
      </w:pPr>
      <w:r>
        <w:t>analyze</w:t>
      </w:r>
    </w:p>
    <w:p>
      <w:pPr>
        <w:pStyle w:val="ListBullet"/>
      </w:pPr>
      <w:r>
        <w:t>correlate</w:t>
      </w:r>
    </w:p>
    <w:p>
      <w:pPr>
        <w:pStyle w:val="ListBullet"/>
      </w:pPr>
      <w:r>
        <w:t>alert</w:t>
      </w:r>
    </w:p>
    <w:p>
      <w:pPr>
        <w:pStyle w:val="ListBullet"/>
      </w:pPr>
      <w:r>
        <w:t>investigate</w:t>
      </w:r>
    </w:p>
    <w:p>
      <w:pPr>
        <w:pStyle w:val="ListBullet"/>
      </w:pPr>
      <w:r>
        <w:t>review</w:t>
      </w:r>
    </w:p>
    <w:p>
      <w:pPr>
        <w:pStyle w:val="ListBullet"/>
      </w:pPr>
      <w:r>
        <w:t>close/reopen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NCIE-002/011/012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common lifecycle exceptions.</w:t>
      </w:r>
    </w:p>
    <w:p>
      <w:pPr>
        <w:pStyle w:val="Heading2"/>
      </w:pPr>
      <w:r>
        <w:t>Chapter 4 — Domain Data Inputs &amp; Canonical Mapping</w:t>
      </w:r>
    </w:p>
    <w:p>
      <w:r>
        <w:t>Chapter Purpose. Define module consumption of canonical data/connectors.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DOMAIN LOGIC ≠ CANONICAL DATA OWNERSHIP; missing/late data remain explicit.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Datasets</w:t>
      </w:r>
    </w:p>
    <w:p>
      <w:pPr>
        <w:pStyle w:val="ListBullet"/>
      </w:pPr>
      <w:r>
        <w:t>mappings</w:t>
      </w:r>
    </w:p>
    <w:p>
      <w:pPr>
        <w:pStyle w:val="ListBullet"/>
      </w:pPr>
      <w:r>
        <w:t>quality</w:t>
      </w:r>
    </w:p>
    <w:p>
      <w:pPr>
        <w:pStyle w:val="ListBullet"/>
      </w:pPr>
      <w:r>
        <w:t>temporal fields</w:t>
      </w:r>
    </w:p>
    <w:p>
      <w:pPr>
        <w:pStyle w:val="ListBullet"/>
      </w:pPr>
      <w:r>
        <w:t>provenance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NCIE-003/010/011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datasets/source precedence.</w:t>
      </w:r>
    </w:p>
    <w:p>
      <w:pPr>
        <w:pStyle w:val="Heading2"/>
      </w:pPr>
      <w:r>
        <w:t>Chapter 5 — Domain Rule &amp; Policy Evaluation Framework</w:t>
      </w:r>
    </w:p>
    <w:p>
      <w:r>
        <w:t>Chapter Purpose. Define traceable domain rule evaluation.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Triggered rule ≠ violation/Finding; rules are versioned and governed.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Rule identity</w:t>
      </w:r>
    </w:p>
    <w:p>
      <w:pPr>
        <w:pStyle w:val="ListBullet"/>
      </w:pPr>
      <w:r>
        <w:t>version</w:t>
      </w:r>
    </w:p>
    <w:p>
      <w:pPr>
        <w:pStyle w:val="ListBullet"/>
      </w:pPr>
      <w:r>
        <w:t>inputs</w:t>
      </w:r>
    </w:p>
    <w:p>
      <w:pPr>
        <w:pStyle w:val="ListBullet"/>
      </w:pPr>
      <w:r>
        <w:t>effective dates</w:t>
      </w:r>
    </w:p>
    <w:p>
      <w:pPr>
        <w:pStyle w:val="ListBullet"/>
      </w:pPr>
      <w:r>
        <w:t>outcomes</w:t>
      </w:r>
    </w:p>
    <w:p>
      <w:pPr>
        <w:pStyle w:val="ListBullet"/>
      </w:pPr>
      <w:r>
        <w:t>exceptions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NCIE-003/008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rule-authoring/approval authority.</w:t>
      </w:r>
    </w:p>
    <w:p>
      <w:pPr>
        <w:pStyle w:val="Heading2"/>
      </w:pPr>
      <w:r>
        <w:t>Chapter 6 — KPI, Threshold &amp; Baseline Framework</w:t>
      </w:r>
    </w:p>
    <w:p>
      <w:r>
        <w:t>Chapter Purpose. Define KPI/baseline/threshold semantics.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KPI threshold breach ≠ proven violation; thresholds require governed sources.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KPI</w:t>
      </w:r>
    </w:p>
    <w:p>
      <w:pPr>
        <w:pStyle w:val="ListBullet"/>
      </w:pPr>
      <w:r>
        <w:t>baseline</w:t>
      </w:r>
    </w:p>
    <w:p>
      <w:pPr>
        <w:pStyle w:val="ListBullet"/>
      </w:pPr>
      <w:r>
        <w:t>threshold</w:t>
      </w:r>
    </w:p>
    <w:p>
      <w:pPr>
        <w:pStyle w:val="ListBullet"/>
      </w:pPr>
      <w:r>
        <w:t>window</w:t>
      </w:r>
    </w:p>
    <w:p>
      <w:pPr>
        <w:pStyle w:val="ListBullet"/>
      </w:pPr>
      <w:r>
        <w:t>comparison</w:t>
      </w:r>
    </w:p>
    <w:p>
      <w:pPr>
        <w:pStyle w:val="ListBullet"/>
      </w:pPr>
      <w:r>
        <w:t>confidence</w:t>
      </w:r>
    </w:p>
    <w:p>
      <w:pPr>
        <w:pStyle w:val="ListBullet"/>
      </w:pPr>
      <w:r>
        <w:t>quality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NCIE-001/003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KPI catalogue/thresholds.</w:t>
      </w:r>
    </w:p>
    <w:p>
      <w:pPr>
        <w:pStyle w:val="Heading2"/>
      </w:pPr>
      <w:r>
        <w:t>Chapter 7 — Anomaly, Risk &amp; Scoring Framework</w:t>
      </w:r>
    </w:p>
    <w:p>
      <w:r>
        <w:t>Chapter Purpose. Define anomaly/risk-score semantics.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ANOMALY ≠ FRAUD; RISK SCORE ≠ GUILT/LIABILITY.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Score</w:t>
      </w:r>
    </w:p>
    <w:p>
      <w:pPr>
        <w:pStyle w:val="ListBullet"/>
      </w:pPr>
      <w:r>
        <w:t>features</w:t>
      </w:r>
    </w:p>
    <w:p>
      <w:pPr>
        <w:pStyle w:val="ListBullet"/>
      </w:pPr>
      <w:r>
        <w:t>version</w:t>
      </w:r>
    </w:p>
    <w:p>
      <w:pPr>
        <w:pStyle w:val="ListBullet"/>
      </w:pPr>
      <w:r>
        <w:t>confidence</w:t>
      </w:r>
    </w:p>
    <w:p>
      <w:pPr>
        <w:pStyle w:val="ListBullet"/>
      </w:pPr>
      <w:r>
        <w:t>explanation</w:t>
      </w:r>
    </w:p>
    <w:p>
      <w:pPr>
        <w:pStyle w:val="ListBullet"/>
      </w:pPr>
      <w:r>
        <w:t>calibration</w:t>
      </w:r>
    </w:p>
    <w:p>
      <w:pPr>
        <w:pStyle w:val="ListBullet"/>
      </w:pPr>
      <w:r>
        <w:t>review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NCIE-007/008/010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approved score uses/prohibited automation.</w:t>
      </w:r>
    </w:p>
    <w:p>
      <w:pPr>
        <w:pStyle w:val="Heading2"/>
      </w:pPr>
      <w:r>
        <w:t>Chapter 8 — Alert, Situation &amp; Escalation Framework</w:t>
      </w:r>
    </w:p>
    <w:p>
      <w:r>
        <w:t>Chapter Purpose. Define alert/Situation lifecycle.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ALERT ≠ FINDING; urgency ≠ evidentiary certainty.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Trigger</w:t>
      </w:r>
    </w:p>
    <w:p>
      <w:pPr>
        <w:pStyle w:val="ListBullet"/>
      </w:pPr>
      <w:r>
        <w:t>Situation</w:t>
      </w:r>
    </w:p>
    <w:p>
      <w:pPr>
        <w:pStyle w:val="ListBullet"/>
      </w:pPr>
      <w:r>
        <w:t>severity</w:t>
      </w:r>
    </w:p>
    <w:p>
      <w:pPr>
        <w:pStyle w:val="ListBullet"/>
      </w:pPr>
      <w:r>
        <w:t>confidence</w:t>
      </w:r>
    </w:p>
    <w:p>
      <w:pPr>
        <w:pStyle w:val="ListBullet"/>
      </w:pPr>
      <w:r>
        <w:t>acknowledgement</w:t>
      </w:r>
    </w:p>
    <w:p>
      <w:pPr>
        <w:pStyle w:val="ListBullet"/>
      </w:pPr>
      <w:r>
        <w:t>escalation</w:t>
      </w:r>
    </w:p>
    <w:p>
      <w:pPr>
        <w:pStyle w:val="ListBullet"/>
      </w:pPr>
      <w:r>
        <w:t>closure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NCIE-001/002/005/012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severity/escalation taxonomy.</w:t>
      </w:r>
    </w:p>
    <w:p>
      <w:pPr>
        <w:pStyle w:val="Heading2"/>
      </w:pPr>
      <w:r>
        <w:t>Chapter 9 — Case / Investigation Handoff</w:t>
      </w:r>
    </w:p>
    <w:p>
      <w:r>
        <w:t>Chapter Purpose. Define handoff into governed case/investigation workflows.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Analytics may trigger review but cannot autonomously create institutional Findings/Decisions.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Case candidate</w:t>
      </w:r>
    </w:p>
    <w:p>
      <w:pPr>
        <w:pStyle w:val="ListBullet"/>
      </w:pPr>
      <w:r>
        <w:t>Evidence gap</w:t>
      </w:r>
    </w:p>
    <w:p>
      <w:pPr>
        <w:pStyle w:val="ListBullet"/>
      </w:pPr>
      <w:r>
        <w:t>referral</w:t>
      </w:r>
    </w:p>
    <w:p>
      <w:pPr>
        <w:pStyle w:val="ListBullet"/>
      </w:pPr>
      <w:r>
        <w:t>assignment</w:t>
      </w:r>
    </w:p>
    <w:p>
      <w:pPr>
        <w:pStyle w:val="ListBullet"/>
      </w:pPr>
      <w:r>
        <w:t>status</w:t>
      </w:r>
    </w:p>
    <w:p>
      <w:pPr>
        <w:pStyle w:val="ListBullet"/>
      </w:pPr>
      <w:r>
        <w:t>provenance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NCIE-001/010/012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case-creation/referral authority.</w:t>
      </w:r>
    </w:p>
    <w:p>
      <w:pPr>
        <w:pStyle w:val="Heading2"/>
      </w:pPr>
      <w:r>
        <w:t>Chapter 10 — Cross-Domain Correlation &amp; Fusion</w:t>
      </w:r>
    </w:p>
    <w:p>
      <w:r>
        <w:t>Chapter Purpose. Define governed cross-domain correlation.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CORRELATION ≠ CAUSATION and cross-domain correlation ≠ disclosure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Entity/time links</w:t>
      </w:r>
    </w:p>
    <w:p>
      <w:pPr>
        <w:pStyle w:val="ListBullet"/>
      </w:pPr>
      <w:r>
        <w:t>correlation sets</w:t>
      </w:r>
    </w:p>
    <w:p>
      <w:pPr>
        <w:pStyle w:val="ListBullet"/>
      </w:pPr>
      <w:r>
        <w:t>confidence</w:t>
      </w:r>
    </w:p>
    <w:p>
      <w:pPr>
        <w:pStyle w:val="ListBullet"/>
      </w:pPr>
      <w:r>
        <w:t>contradictions</w:t>
      </w:r>
    </w:p>
    <w:p>
      <w:pPr>
        <w:pStyle w:val="ListBullet"/>
      </w:pPr>
      <w:r>
        <w:t>purpose</w:t>
      </w:r>
    </w:p>
    <w:p>
      <w:pPr>
        <w:pStyle w:val="ListBullet"/>
      </w:pPr>
      <w:r>
        <w:t>provenance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NCIE-003/006/009/010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permitted cross-domain purposes.</w:t>
      </w:r>
    </w:p>
    <w:p>
      <w:pPr>
        <w:pStyle w:val="Heading2"/>
      </w:pPr>
      <w:r>
        <w:t>Chapter 11 — Network Performance &amp; Quality Module</w:t>
      </w:r>
    </w:p>
    <w:p>
      <w:r>
        <w:t>Chapter Purpose. Define network performance/coverage/quality analysis.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Performance degradation ≠ regulatory breach.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Coverage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quality KPI</w:t>
      </w:r>
    </w:p>
    <w:p>
      <w:pPr>
        <w:pStyle w:val="ListBullet"/>
      </w:pPr>
      <w:r>
        <w:t>degradation</w:t>
      </w:r>
    </w:p>
    <w:p>
      <w:pPr>
        <w:pStyle w:val="ListBullet"/>
      </w:pPr>
      <w:r>
        <w:t>outage</w:t>
      </w:r>
    </w:p>
    <w:p>
      <w:pPr>
        <w:pStyle w:val="ListBullet"/>
      </w:pPr>
      <w:r>
        <w:t>geography</w:t>
      </w:r>
    </w:p>
    <w:p>
      <w:pPr>
        <w:pStyle w:val="ListBullet"/>
      </w:pPr>
      <w:r>
        <w:t>trend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NCIE-001/003/011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KPI catalogue/regulatory thresholds.</w:t>
      </w:r>
    </w:p>
    <w:p>
      <w:pPr>
        <w:pStyle w:val="Heading2"/>
      </w:pPr>
      <w:r>
        <w:t>Chapter 12 — Traffic &amp; Usage Intelligence Module</w:t>
      </w:r>
    </w:p>
    <w:p>
      <w:r>
        <w:t>Chapter Purpose. Define traffic/usage analysis.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Traffic anomaly ≠ misconduct; interpret with temporal/network/data-quality context.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Volumes</w:t>
      </w:r>
    </w:p>
    <w:p>
      <w:pPr>
        <w:pStyle w:val="ListBullet"/>
      </w:pPr>
      <w:r>
        <w:t>utilization</w:t>
      </w:r>
    </w:p>
    <w:p>
      <w:pPr>
        <w:pStyle w:val="ListBullet"/>
      </w:pPr>
      <w:r>
        <w:t>growth</w:t>
      </w:r>
    </w:p>
    <w:p>
      <w:pPr>
        <w:pStyle w:val="ListBullet"/>
      </w:pPr>
      <w:r>
        <w:t>seasonality</w:t>
      </w:r>
    </w:p>
    <w:p>
      <w:pPr>
        <w:pStyle w:val="ListBullet"/>
      </w:pPr>
      <w:r>
        <w:t>anomalies</w:t>
      </w:r>
    </w:p>
    <w:p>
      <w:pPr>
        <w:pStyle w:val="ListBullet"/>
      </w:pPr>
      <w:r>
        <w:t>geography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NCIE-001/003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classifications/thresholds.</w:t>
      </w:r>
    </w:p>
    <w:p>
      <w:pPr>
        <w:pStyle w:val="Heading2"/>
      </w:pPr>
      <w:r>
        <w:t>Chapter 13 — Revenue &amp; Financial Assurance Module</w:t>
      </w:r>
    </w:p>
    <w:p>
      <w:r>
        <w:t>Chapter Purpose. Define revenue/financial-assurance analysis.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Revenue variance ≠ fraud/liability; reconciliation gaps require Evidence/investigation.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Revenue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variance</w:t>
      </w:r>
    </w:p>
    <w:p>
      <w:pPr>
        <w:pStyle w:val="ListBullet"/>
      </w:pPr>
      <w:r>
        <w:t>leakage indicators</w:t>
      </w:r>
    </w:p>
    <w:p>
      <w:pPr>
        <w:pStyle w:val="ListBullet"/>
      </w:pPr>
      <w:r>
        <w:t>trends</w:t>
      </w:r>
    </w:p>
    <w:p>
      <w:pPr>
        <w:pStyle w:val="ListBullet"/>
      </w:pPr>
      <w:r>
        <w:t>exceptions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NCIE-001/003/010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source precedence/materiality.</w:t>
      </w:r>
    </w:p>
    <w:p>
      <w:pPr>
        <w:pStyle w:val="Heading2"/>
      </w:pPr>
      <w:r>
        <w:t>Chapter 14 — Mobile Money Intelligence Module</w:t>
      </w:r>
    </w:p>
    <w:p>
      <w:r>
        <w:t>Chapter Purpose. Define mobile-money monitoring/case support.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Transaction anomaly/risk ≠ fraud; privacy/purpose remain strict.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Patterns</w:t>
      </w:r>
    </w:p>
    <w:p>
      <w:pPr>
        <w:pStyle w:val="ListBullet"/>
      </w:pPr>
      <w:r>
        <w:t>velocity</w:t>
      </w:r>
    </w:p>
    <w:p>
      <w:pPr>
        <w:pStyle w:val="ListBullet"/>
      </w:pPr>
      <w:r>
        <w:t>concentration</w:t>
      </w:r>
    </w:p>
    <w:p>
      <w:pPr>
        <w:pStyle w:val="ListBullet"/>
      </w:pPr>
      <w:r>
        <w:t>anomalies</w:t>
      </w:r>
    </w:p>
    <w:p>
      <w:pPr>
        <w:pStyle w:val="ListBullet"/>
      </w:pPr>
      <w:r>
        <w:t>risk</w:t>
      </w:r>
    </w:p>
    <w:p>
      <w:pPr>
        <w:pStyle w:val="ListBullet"/>
      </w:pPr>
      <w:r>
        <w:t>cases</w:t>
      </w:r>
    </w:p>
    <w:p>
      <w:pPr>
        <w:pStyle w:val="ListBullet"/>
      </w:pPr>
      <w:r>
        <w:t>Evidence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NCIE-001/003/009/010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permitted purposes/risk indicators.</w:t>
      </w:r>
    </w:p>
    <w:p>
      <w:pPr>
        <w:pStyle w:val="Heading2"/>
      </w:pPr>
      <w:r>
        <w:t>Chapter 15 — SIM / Subscriber Intelligence Module</w:t>
      </w:r>
    </w:p>
    <w:p>
      <w:r>
        <w:t>Chapter Purpose. Define SIM/subscriber intelligence.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Identity linkage ≠ wrongdoing; protected identity remains governed.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SIM lifecycle</w:t>
      </w:r>
    </w:p>
    <w:p>
      <w:pPr>
        <w:pStyle w:val="ListBullet"/>
      </w:pPr>
      <w:r>
        <w:t>subscriber linkage</w:t>
      </w:r>
    </w:p>
    <w:p>
      <w:pPr>
        <w:pStyle w:val="ListBullet"/>
      </w:pPr>
      <w:r>
        <w:t>registration quality</w:t>
      </w:r>
    </w:p>
    <w:p>
      <w:pPr>
        <w:pStyle w:val="ListBullet"/>
      </w:pPr>
      <w:r>
        <w:t>unusual patterns</w:t>
      </w:r>
    </w:p>
    <w:p>
      <w:pPr>
        <w:pStyle w:val="ListBullet"/>
      </w:pPr>
      <w:r>
        <w:t>exceptions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NCIE-001/003/009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identity-use purposes/access.</w:t>
      </w:r>
    </w:p>
    <w:p>
      <w:pPr>
        <w:pStyle w:val="Heading2"/>
      </w:pPr>
      <w:r>
        <w:t>Chapter 16 — Anti-Fraud &amp; Abuse Intelligence Module</w:t>
      </w:r>
    </w:p>
    <w:p>
      <w:r>
        <w:t>Chapter Purpose. Define fraud/abuse detection support.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ANOMALY ≠ FRAUD; indicators support review, not autonomous accusation/sanction.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Typologies</w:t>
      </w:r>
    </w:p>
    <w:p>
      <w:pPr>
        <w:pStyle w:val="ListBullet"/>
      </w:pPr>
      <w:r>
        <w:t>indicators</w:t>
      </w:r>
    </w:p>
    <w:p>
      <w:pPr>
        <w:pStyle w:val="ListBullet"/>
      </w:pPr>
      <w:r>
        <w:t>correlation</w:t>
      </w:r>
    </w:p>
    <w:p>
      <w:pPr>
        <w:pStyle w:val="ListBullet"/>
      </w:pPr>
      <w:r>
        <w:t>score</w:t>
      </w:r>
    </w:p>
    <w:p>
      <w:pPr>
        <w:pStyle w:val="ListBullet"/>
      </w:pPr>
      <w:r>
        <w:t>alert</w:t>
      </w:r>
    </w:p>
    <w:p>
      <w:pPr>
        <w:pStyle w:val="ListBullet"/>
      </w:pPr>
      <w:r>
        <w:t>referral</w:t>
      </w:r>
    </w:p>
    <w:p>
      <w:pPr>
        <w:pStyle w:val="ListBullet"/>
      </w:pPr>
      <w:r>
        <w:t>Evidence gaps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NCIE-001/007/008/010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typologies/score governance.</w:t>
      </w:r>
    </w:p>
    <w:p>
      <w:pPr>
        <w:pStyle w:val="Heading2"/>
      </w:pPr>
      <w:r>
        <w:t>Chapter 17 — REWS / Early-Warning Module</w:t>
      </w:r>
    </w:p>
    <w:p>
      <w:r>
        <w:t>Chapter Purpose. Define regulatory early-warning/Situation formation.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Early warning is anticipatory intelligence, not a Finding; uncertainty/gaps remain visible.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Leading indicators</w:t>
      </w:r>
    </w:p>
    <w:p>
      <w:pPr>
        <w:pStyle w:val="ListBullet"/>
      </w:pPr>
      <w:r>
        <w:t>trend breaks</w:t>
      </w:r>
    </w:p>
    <w:p>
      <w:pPr>
        <w:pStyle w:val="ListBullet"/>
      </w:pPr>
      <w:r>
        <w:t>composite signals</w:t>
      </w:r>
    </w:p>
    <w:p>
      <w:pPr>
        <w:pStyle w:val="ListBullet"/>
      </w:pPr>
      <w:r>
        <w:t>Situation</w:t>
      </w:r>
    </w:p>
    <w:p>
      <w:pPr>
        <w:pStyle w:val="ListBullet"/>
      </w:pPr>
      <w:r>
        <w:t>confidence</w:t>
      </w:r>
    </w:p>
    <w:p>
      <w:pPr>
        <w:pStyle w:val="ListBullet"/>
      </w:pPr>
      <w:r>
        <w:t>escalation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NCIE-001/005/010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indicator catalogue/escalation.</w:t>
      </w:r>
    </w:p>
    <w:p>
      <w:pPr>
        <w:pStyle w:val="Heading2"/>
      </w:pPr>
      <w:r>
        <w:t>Chapter 18 — Operator / Entity Profile &amp; Comparative Intelligence</w:t>
      </w:r>
    </w:p>
    <w:p>
      <w:r>
        <w:t>Chapter Purpose. Define governed operator/entity comparisons.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Rank/outlier ≠ wrongdoing; comparisons normalize scope/time/quality.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Profiles</w:t>
      </w:r>
    </w:p>
    <w:p>
      <w:pPr>
        <w:pStyle w:val="ListBullet"/>
      </w:pPr>
      <w:r>
        <w:t>peer groups</w:t>
      </w:r>
    </w:p>
    <w:p>
      <w:pPr>
        <w:pStyle w:val="ListBullet"/>
      </w:pPr>
      <w:r>
        <w:t>normalized KPI</w:t>
      </w:r>
    </w:p>
    <w:p>
      <w:pPr>
        <w:pStyle w:val="ListBullet"/>
      </w:pPr>
      <w:r>
        <w:t>benchmarks</w:t>
      </w:r>
    </w:p>
    <w:p>
      <w:pPr>
        <w:pStyle w:val="ListBullet"/>
      </w:pPr>
      <w:r>
        <w:t>outliers</w:t>
      </w:r>
    </w:p>
    <w:p>
      <w:pPr>
        <w:pStyle w:val="ListBullet"/>
      </w:pPr>
      <w:r>
        <w:t>provenance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NCIE-003/012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peer-group/benchmark governance.</w:t>
      </w:r>
    </w:p>
    <w:p>
      <w:pPr>
        <w:pStyle w:val="Heading2"/>
      </w:pPr>
      <w:r>
        <w:t>Chapter 19 — Geospatial &amp; Topology Intelligence</w:t>
      </w:r>
    </w:p>
    <w:p>
      <w:r>
        <w:t>Chapter Purpose. Define geography/topology analysis.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Spatial/topology relation ≠ causality; sensitive layers remain authorized.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Layers</w:t>
      </w:r>
    </w:p>
    <w:p>
      <w:pPr>
        <w:pStyle w:val="ListBullet"/>
      </w:pPr>
      <w:r>
        <w:t>coverage</w:t>
      </w:r>
    </w:p>
    <w:p>
      <w:pPr>
        <w:pStyle w:val="ListBullet"/>
      </w:pPr>
      <w:r>
        <w:t>regions</w:t>
      </w:r>
    </w:p>
    <w:p>
      <w:pPr>
        <w:pStyle w:val="ListBullet"/>
      </w:pPr>
      <w:r>
        <w:t>topology</w:t>
      </w:r>
    </w:p>
    <w:p>
      <w:pPr>
        <w:pStyle w:val="ListBullet"/>
      </w:pPr>
      <w:r>
        <w:t>proximity</w:t>
      </w:r>
    </w:p>
    <w:p>
      <w:pPr>
        <w:pStyle w:val="ListBullet"/>
      </w:pPr>
      <w:r>
        <w:t>clustering</w:t>
      </w:r>
    </w:p>
    <w:p>
      <w:pPr>
        <w:pStyle w:val="ListBullet"/>
      </w:pPr>
      <w:r>
        <w:t>temporal maps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NCIE-003/009/012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sensitive-layer access/analyses.</w:t>
      </w:r>
    </w:p>
    <w:p>
      <w:pPr>
        <w:pStyle w:val="Heading2"/>
      </w:pPr>
      <w:r>
        <w:t>Chapter 20 — Temporal, Trend &amp; Forecast Interpretation</w:t>
      </w:r>
    </w:p>
    <w:p>
      <w:r>
        <w:t>Chapter Purpose. Define trend/forecast semantics.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Forecast ≠ fact; late/revised data and historical baselines stay explicit.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Observed/effective time</w:t>
      </w:r>
    </w:p>
    <w:p>
      <w:pPr>
        <w:pStyle w:val="ListBullet"/>
      </w:pPr>
      <w:r>
        <w:t>windows</w:t>
      </w:r>
    </w:p>
    <w:p>
      <w:pPr>
        <w:pStyle w:val="ListBullet"/>
      </w:pPr>
      <w:r>
        <w:t>seasonality</w:t>
      </w:r>
    </w:p>
    <w:p>
      <w:pPr>
        <w:pStyle w:val="ListBullet"/>
      </w:pPr>
      <w:r>
        <w:t>trend</w:t>
      </w:r>
    </w:p>
    <w:p>
      <w:pPr>
        <w:pStyle w:val="ListBullet"/>
      </w:pPr>
      <w:r>
        <w:t>forecast</w:t>
      </w:r>
    </w:p>
    <w:p>
      <w:pPr>
        <w:pStyle w:val="ListBullet"/>
      </w:pPr>
      <w:r>
        <w:t>confidence</w:t>
      </w:r>
    </w:p>
    <w:p>
      <w:pPr>
        <w:pStyle w:val="ListBullet"/>
      </w:pPr>
      <w:r>
        <w:t>revision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NCIE-003/006/007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forecast use/restrictions.</w:t>
      </w:r>
    </w:p>
    <w:p>
      <w:pPr>
        <w:pStyle w:val="Heading2"/>
      </w:pPr>
      <w:r>
        <w:t>Chapter 21 — Domain Evidence &amp; Provenance Integration</w:t>
      </w:r>
    </w:p>
    <w:p>
      <w:r>
        <w:t>Chapter Purpose. Define module Evidence/provenance use.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ANALYTICAL SIGNAL ≠ EVIDENCE; Evidence status comes only through NCIE-010 lifecycle.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Evidence links</w:t>
      </w:r>
    </w:p>
    <w:p>
      <w:pPr>
        <w:pStyle w:val="ListBullet"/>
      </w:pPr>
      <w:r>
        <w:t>provenance</w:t>
      </w:r>
    </w:p>
    <w:p>
      <w:pPr>
        <w:pStyle w:val="ListBullet"/>
      </w:pPr>
      <w:r>
        <w:t>contradictions</w:t>
      </w:r>
    </w:p>
    <w:p>
      <w:pPr>
        <w:pStyle w:val="ListBullet"/>
      </w:pPr>
      <w:r>
        <w:t>gaps</w:t>
      </w:r>
    </w:p>
    <w:p>
      <w:pPr>
        <w:pStyle w:val="ListBullet"/>
      </w:pPr>
      <w:r>
        <w:t>versions</w:t>
      </w:r>
    </w:p>
    <w:p>
      <w:pPr>
        <w:pStyle w:val="ListBullet"/>
      </w:pPr>
      <w:r>
        <w:t>custody</w:t>
      </w:r>
    </w:p>
    <w:p>
      <w:pPr>
        <w:pStyle w:val="ListBullet"/>
      </w:pPr>
      <w:r>
        <w:t>Decision-Time package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domain Evidence packages.</w:t>
      </w:r>
    </w:p>
    <w:p>
      <w:pPr>
        <w:pStyle w:val="Heading2"/>
      </w:pPr>
      <w:r>
        <w:t>Chapter 22 — ARGUS Domain Assistance Boundary</w:t>
      </w:r>
    </w:p>
    <w:p>
      <w:r>
        <w:t>Chapter Purpose. Define ARGUS assistance within modules.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ARGUS assistance ≠ domain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Summaries</w:t>
      </w:r>
    </w:p>
    <w:p>
      <w:pPr>
        <w:pStyle w:val="ListBullet"/>
      </w:pPr>
      <w:r>
        <w:t>comparisons</w:t>
      </w:r>
    </w:p>
    <w:p>
      <w:pPr>
        <w:pStyle w:val="ListBullet"/>
      </w:pPr>
      <w:r>
        <w:t>Evidence gaps</w:t>
      </w:r>
    </w:p>
    <w:p>
      <w:pPr>
        <w:pStyle w:val="ListBullet"/>
      </w:pPr>
      <w:r>
        <w:t>questions</w:t>
      </w:r>
    </w:p>
    <w:p>
      <w:pPr>
        <w:pStyle w:val="ListBullet"/>
      </w:pPr>
      <w:r>
        <w:t>actions</w:t>
      </w:r>
    </w:p>
    <w:p>
      <w:pPr>
        <w:pStyle w:val="ListBullet"/>
      </w:pPr>
      <w:r>
        <w:t>escalation</w:t>
      </w:r>
    </w:p>
    <w:p>
      <w:pPr>
        <w:pStyle w:val="ListBullet"/>
      </w:pPr>
      <w:r>
        <w:t>provenance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NCIE-005/012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domain assistance limits.</w:t>
      </w:r>
    </w:p>
    <w:p>
      <w:pPr>
        <w:pStyle w:val="Heading2"/>
      </w:pPr>
      <w:r>
        <w:t>Chapter 23 — Agent &amp; AI Use Within Domain Modules</w:t>
      </w:r>
    </w:p>
    <w:p>
      <w:r>
        <w:t>Chapter Purpose. Define bounded Agent/model use.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MODEL/AGENT OUTPUT ≠ FINDING/DECISION; VPF validation ≠ domain approval.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Agent tasks</w:t>
      </w:r>
    </w:p>
    <w:p>
      <w:pPr>
        <w:pStyle w:val="ListBullet"/>
      </w:pPr>
      <w:r>
        <w:t>model routes</w:t>
      </w:r>
    </w:p>
    <w:p>
      <w:pPr>
        <w:pStyle w:val="ListBullet"/>
      </w:pPr>
      <w:r>
        <w:t>Context</w:t>
      </w:r>
    </w:p>
    <w:p>
      <w:pPr>
        <w:pStyle w:val="ListBullet"/>
      </w:pPr>
      <w:r>
        <w:t>result</w:t>
      </w:r>
    </w:p>
    <w:p>
      <w:pPr>
        <w:pStyle w:val="ListBullet"/>
      </w:pPr>
      <w:r>
        <w:t>VPF</w:t>
      </w:r>
    </w:p>
    <w:p>
      <w:pPr>
        <w:pStyle w:val="ListBullet"/>
      </w:pPr>
      <w:r>
        <w:t>review</w:t>
      </w:r>
    </w:p>
    <w:p>
      <w:pPr>
        <w:pStyle w:val="ListBullet"/>
      </w:pPr>
      <w:r>
        <w:t>provenance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NCIE-007/008/009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approved domain AI/Agent uses.</w:t>
      </w:r>
    </w:p>
    <w:p>
      <w:pPr>
        <w:pStyle w:val="Heading2"/>
      </w:pPr>
      <w:r>
        <w:t>Chapter 24 — Domain Workflow &amp; Human Review Integration</w:t>
      </w:r>
    </w:p>
    <w:p>
      <w:r>
        <w:t>Chapter Purpose. Define module review/approval workflows.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WORKFLOW STATE ≠ HUMAN APPROVAL.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Review queue</w:t>
      </w:r>
    </w:p>
    <w:p>
      <w:pPr>
        <w:pStyle w:val="ListBullet"/>
      </w:pPr>
      <w:r>
        <w:t>assignment</w:t>
      </w:r>
    </w:p>
    <w:p>
      <w:pPr>
        <w:pStyle w:val="ListBullet"/>
      </w:pPr>
      <w:r>
        <w:t>Evidence package</w:t>
      </w:r>
    </w:p>
    <w:p>
      <w:pPr>
        <w:pStyle w:val="ListBullet"/>
      </w:pPr>
      <w:r>
        <w:t>approval/rejection</w:t>
      </w:r>
    </w:p>
    <w:p>
      <w:pPr>
        <w:pStyle w:val="ListBullet"/>
      </w:pPr>
      <w:r>
        <w:t>dissent</w:t>
      </w:r>
    </w:p>
    <w:p>
      <w:pPr>
        <w:pStyle w:val="ListBullet"/>
      </w:pPr>
      <w:r>
        <w:t>closure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NCIE-008/012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review authorities/variants.</w:t>
      </w:r>
    </w:p>
    <w:p>
      <w:pPr>
        <w:pStyle w:val="Heading2"/>
      </w:pPr>
      <w:r>
        <w:t>Chapter 25 — Domain API &amp; Connector Integration</w:t>
      </w:r>
    </w:p>
    <w:p>
      <w:r>
        <w:t>Chapter Purpose. Define consumption of NCIE-011 contracts.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Connector availability ≠ source truth; no parallel integration semantics.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APIs</w:t>
      </w:r>
    </w:p>
    <w:p>
      <w:pPr>
        <w:pStyle w:val="ListBullet"/>
      </w:pPr>
      <w:r>
        <w:t>connectors</w:t>
      </w:r>
    </w:p>
    <w:p>
      <w:pPr>
        <w:pStyle w:val="ListBullet"/>
      </w:pPr>
      <w:r>
        <w:t>events</w:t>
      </w:r>
    </w:p>
    <w:p>
      <w:pPr>
        <w:pStyle w:val="ListBullet"/>
      </w:pPr>
      <w:r>
        <w:t>schemas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errors</w:t>
      </w:r>
    </w:p>
    <w:p>
      <w:pPr>
        <w:pStyle w:val="ListBullet"/>
      </w:pPr>
      <w:r>
        <w:t>async state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NCIE-011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standard vs bespoke connectors.</w:t>
      </w:r>
    </w:p>
    <w:p>
      <w:pPr>
        <w:pStyle w:val="Heading2"/>
      </w:pPr>
      <w:r>
        <w:t>Chapter 26 — Domain UX &amp; Workspace Integration</w:t>
      </w:r>
    </w:p>
    <w:p>
      <w:r>
        <w:t>Chapter Purpose. Map module logic to NCIE-012 patterns.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Domain UX renders semantics without changing rules/authority.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Dashboards</w:t>
      </w:r>
    </w:p>
    <w:p>
      <w:pPr>
        <w:pStyle w:val="ListBullet"/>
      </w:pPr>
      <w:r>
        <w:t>tables</w:t>
      </w:r>
    </w:p>
    <w:p>
      <w:pPr>
        <w:pStyle w:val="ListBullet"/>
      </w:pPr>
      <w:r>
        <w:t>charts/maps</w:t>
      </w:r>
    </w:p>
    <w:p>
      <w:pPr>
        <w:pStyle w:val="ListBullet"/>
      </w:pPr>
      <w:r>
        <w:t>alerts</w:t>
      </w:r>
    </w:p>
    <w:p>
      <w:pPr>
        <w:pStyle w:val="ListBullet"/>
      </w:pPr>
      <w:r>
        <w:t>cases</w:t>
      </w:r>
    </w:p>
    <w:p>
      <w:pPr>
        <w:pStyle w:val="ListBullet"/>
      </w:pPr>
      <w:r>
        <w:t>Evidence</w:t>
      </w:r>
    </w:p>
    <w:p>
      <w:pPr>
        <w:pStyle w:val="ListBullet"/>
      </w:pPr>
      <w:r>
        <w:t>ARGUS</w:t>
      </w:r>
    </w:p>
    <w:p>
      <w:pPr>
        <w:pStyle w:val="ListBullet"/>
      </w:pPr>
      <w:r>
        <w:t>filters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module workspace layouts.</w:t>
      </w:r>
    </w:p>
    <w:p>
      <w:pPr>
        <w:pStyle w:val="Heading2"/>
      </w:pPr>
      <w:r>
        <w:t>Chapter 27 — Security, Privacy &amp; Purpose Limitation</w:t>
      </w:r>
    </w:p>
    <w:p>
      <w:r>
        <w:t>Chapter Purpose. Apply NCIE-009 controls.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Analytical value does not override purpose, authorization or privacy.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purpose</w:t>
      </w:r>
    </w:p>
    <w:p>
      <w:pPr>
        <w:pStyle w:val="ListBullet"/>
      </w:pPr>
      <w:r>
        <w:t>protected identity</w:t>
      </w:r>
    </w:p>
    <w:p>
      <w:pPr>
        <w:pStyle w:val="ListBullet"/>
      </w:pPr>
      <w:r>
        <w:t>masking</w:t>
      </w:r>
    </w:p>
    <w:p>
      <w:pPr>
        <w:pStyle w:val="ListBullet"/>
      </w:pPr>
      <w:r>
        <w:t>DLP</w:t>
      </w:r>
    </w:p>
    <w:p>
      <w:pPr>
        <w:pStyle w:val="ListBullet"/>
      </w:pPr>
      <w:r>
        <w:t>audit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NCIE-009/008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high-risk access classes.</w:t>
      </w:r>
    </w:p>
    <w:p>
      <w:pPr>
        <w:pStyle w:val="Heading2"/>
      </w:pPr>
      <w:r>
        <w:t>Chapter 28 — Domain Audit, Explainability &amp; Defensibility</w:t>
      </w:r>
    </w:p>
    <w:p>
      <w:r>
        <w:t>Chapter Purpose. Define audit/explainability for rules/outputs.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Explainability supports review but does not create Evidence/Finding.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Rule version</w:t>
      </w:r>
    </w:p>
    <w:p>
      <w:pPr>
        <w:pStyle w:val="ListBullet"/>
      </w:pPr>
      <w:r>
        <w:t>inputs</w:t>
      </w:r>
    </w:p>
    <w:p>
      <w:pPr>
        <w:pStyle w:val="ListBullet"/>
      </w:pPr>
      <w:r>
        <w:t>outputs</w:t>
      </w:r>
    </w:p>
    <w:p>
      <w:pPr>
        <w:pStyle w:val="ListBullet"/>
      </w:pPr>
      <w:r>
        <w:t>rationale</w:t>
      </w:r>
    </w:p>
    <w:p>
      <w:pPr>
        <w:pStyle w:val="ListBullet"/>
      </w:pPr>
      <w:r>
        <w:t>model/Agent provenance</w:t>
      </w:r>
    </w:p>
    <w:p>
      <w:pPr>
        <w:pStyle w:val="ListBullet"/>
      </w:pPr>
      <w:r>
        <w:t>human action</w:t>
      </w:r>
    </w:p>
    <w:p>
      <w:pPr>
        <w:pStyle w:val="ListBullet"/>
      </w:pPr>
      <w:r>
        <w:t>audit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NCIE-010/007/008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minimum explainability.</w:t>
      </w:r>
    </w:p>
    <w:p>
      <w:pPr>
        <w:pStyle w:val="Heading2"/>
      </w:pPr>
      <w:r>
        <w:t>Chapter 29 — Data Quality, Missingness &amp; Reconciliation</w:t>
      </w:r>
    </w:p>
    <w:p>
      <w:r>
        <w:t>Chapter Purpose. Define incomplete/late/conflicting/revised data behavior.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MISSING DATA ≠ ZERO VALUE; LATE DATA ≠ CURRENT TRUTH.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Quality</w:t>
      </w:r>
    </w:p>
    <w:p>
      <w:pPr>
        <w:pStyle w:val="ListBullet"/>
      </w:pPr>
      <w:r>
        <w:t>completeness</w:t>
      </w:r>
    </w:p>
    <w:p>
      <w:pPr>
        <w:pStyle w:val="ListBullet"/>
      </w:pPr>
      <w:r>
        <w:t>lateness</w:t>
      </w:r>
    </w:p>
    <w:p>
      <w:pPr>
        <w:pStyle w:val="ListBullet"/>
      </w:pPr>
      <w:r>
        <w:t>conflict</w:t>
      </w:r>
    </w:p>
    <w:p>
      <w:pPr>
        <w:pStyle w:val="ListBullet"/>
      </w:pPr>
      <w:r>
        <w:t>revision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qualification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NCIE-003/010/011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quality thresholds/suppression.</w:t>
      </w:r>
    </w:p>
    <w:p>
      <w:pPr>
        <w:pStyle w:val="Heading2"/>
      </w:pPr>
      <w:r>
        <w:t>Chapter 30 — Domain Configuration &amp; Change Governance</w:t>
      </w:r>
    </w:p>
    <w:p>
      <w:r>
        <w:t>Chapter Purpose. Define evolution of rules/thresholds/KPIs/configuration.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Configuration changes alter analytical outcomes and require versioning/impact/governance.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Config identity</w:t>
      </w:r>
    </w:p>
    <w:p>
      <w:pPr>
        <w:pStyle w:val="ListBullet"/>
      </w:pPr>
      <w:r>
        <w:t>version</w:t>
      </w:r>
    </w:p>
    <w:p>
      <w:pPr>
        <w:pStyle w:val="ListBullet"/>
      </w:pPr>
      <w:r>
        <w:t>proposal</w:t>
      </w:r>
    </w:p>
    <w:p>
      <w:pPr>
        <w:pStyle w:val="ListBullet"/>
      </w:pPr>
      <w:r>
        <w:t>test</w:t>
      </w:r>
    </w:p>
    <w:p>
      <w:pPr>
        <w:pStyle w:val="ListBullet"/>
      </w:pPr>
      <w:r>
        <w:t>approval</w:t>
      </w:r>
    </w:p>
    <w:p>
      <w:pPr>
        <w:pStyle w:val="ListBullet"/>
      </w:pPr>
      <w:r>
        <w:t>effective date</w:t>
      </w:r>
    </w:p>
    <w:p>
      <w:pPr>
        <w:pStyle w:val="ListBullet"/>
      </w:pPr>
      <w:r>
        <w:t>rollback</w:t>
      </w:r>
    </w:p>
    <w:p>
      <w:pPr>
        <w:pStyle w:val="ListBullet"/>
      </w:pPr>
      <w:r>
        <w:t>provenance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NCIE-008/004/010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config approval authority.</w:t>
      </w:r>
    </w:p>
    <w:p>
      <w:pPr>
        <w:pStyle w:val="Heading2"/>
      </w:pPr>
      <w:r>
        <w:t>Chapter 31 — Domain Performance, Scale &amp; Degraded Operation</w:t>
      </w:r>
    </w:p>
    <w:p>
      <w:r>
        <w:t>Chapter Purpose. Define functional behavior under degraded dependencies.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Degraded mode must not relax Evidence/authorization/decision rules; stale/partial state is explicit.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Freshness</w:t>
      </w:r>
    </w:p>
    <w:p>
      <w:pPr>
        <w:pStyle w:val="ListBullet"/>
      </w:pPr>
      <w:r>
        <w:t>partial data</w:t>
      </w:r>
    </w:p>
    <w:p>
      <w:pPr>
        <w:pStyle w:val="ListBullet"/>
      </w:pPr>
      <w:r>
        <w:t>source outage</w:t>
      </w:r>
    </w:p>
    <w:p>
      <w:pPr>
        <w:pStyle w:val="ListBullet"/>
      </w:pPr>
      <w:r>
        <w:t>backlog</w:t>
      </w:r>
    </w:p>
    <w:p>
      <w:pPr>
        <w:pStyle w:val="ListBullet"/>
      </w:pPr>
      <w:r>
        <w:t>degraded mode</w:t>
      </w:r>
    </w:p>
    <w:p>
      <w:pPr>
        <w:pStyle w:val="ListBullet"/>
      </w:pPr>
      <w:r>
        <w:t>recovery</w:t>
      </w:r>
    </w:p>
    <w:p>
      <w:pPr>
        <w:pStyle w:val="ListBullet"/>
      </w:pPr>
      <w:r>
        <w:t>reconciliation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NCIE-004/011/012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freshness/availability expectations.</w:t>
      </w:r>
    </w:p>
    <w:p>
      <w:pPr>
        <w:pStyle w:val="Heading2"/>
      </w:pPr>
      <w:r>
        <w:t>Chapter 32 — Functional Module Testing &amp; Scenario Validation</w:t>
      </w:r>
    </w:p>
    <w:p>
      <w:r>
        <w:t>Chapter Purpose. Define domain test classes.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TEST SPECIFIED ≠ TEST EXECUTED; integration success ≠ domain interpretation validity.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Rule</w:t>
      </w:r>
    </w:p>
    <w:p>
      <w:pPr>
        <w:pStyle w:val="ListBullet"/>
      </w:pPr>
      <w:r>
        <w:t>KPI</w:t>
      </w:r>
    </w:p>
    <w:p>
      <w:pPr>
        <w:pStyle w:val="ListBullet"/>
      </w:pPr>
      <w:r>
        <w:t>anomaly</w:t>
      </w:r>
    </w:p>
    <w:p>
      <w:pPr>
        <w:pStyle w:val="ListBullet"/>
      </w:pPr>
      <w:r>
        <w:t>alert</w:t>
      </w:r>
    </w:p>
    <w:p>
      <w:pPr>
        <w:pStyle w:val="ListBullet"/>
      </w:pPr>
      <w:r>
        <w:t>cross-domain</w:t>
      </w:r>
    </w:p>
    <w:p>
      <w:pPr>
        <w:pStyle w:val="ListBullet"/>
      </w:pPr>
      <w:r>
        <w:t>Evidence traceability</w:t>
      </w:r>
    </w:p>
    <w:p>
      <w:pPr>
        <w:pStyle w:val="ListBullet"/>
      </w:pPr>
      <w:r>
        <w:t>security</w:t>
      </w:r>
    </w:p>
    <w:p>
      <w:pPr>
        <w:pStyle w:val="ListBullet"/>
      </w:pPr>
      <w:r>
        <w:t>degraded-data</w:t>
      </w:r>
    </w:p>
    <w:p>
      <w:pPr>
        <w:pStyle w:val="ListBullet"/>
      </w:pPr>
      <w:r>
        <w:t>scenarios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NCIE-016 downstream; NCIE-008 assurance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scenarios/acceptance authority.</w:t>
      </w:r>
    </w:p>
    <w:p>
      <w:pPr>
        <w:pStyle w:val="Heading2"/>
      </w:pPr>
      <w:r>
        <w:t>Chapter 33 — Human Review Register &amp; Open Domain Decisions</w:t>
      </w:r>
    </w:p>
    <w:p>
      <w:r>
        <w:t>Chapter Purpose. Consolidate unresolved NCIE-013 decisions.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Deduplicate upstream questions; create HR13 only for distinct domain-business decisions; precise blocking scope.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Review ID</w:t>
      </w:r>
    </w:p>
    <w:p>
      <w:pPr>
        <w:pStyle w:val="ListBullet"/>
      </w:pPr>
      <w:r>
        <w:t>source</w:t>
      </w:r>
    </w:p>
    <w:p>
      <w:pPr>
        <w:pStyle w:val="ListBullet"/>
      </w:pPr>
      <w:r>
        <w:t>question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blocking scope</w:t>
      </w:r>
    </w:p>
    <w:p>
      <w:pPr>
        <w:pStyle w:val="ListBullet"/>
      </w:pPr>
      <w:r>
        <w:t>dependency</w:t>
      </w:r>
    </w:p>
    <w:p>
      <w:pPr>
        <w:pStyle w:val="ListBullet"/>
      </w:pPr>
      <w:r>
        <w:t>status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Chapters 1–32 and 34; NCIE-008–012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Decide pre-expansion/approval blockers.</w:t>
      </w:r>
    </w:p>
    <w:p>
      <w:pPr>
        <w:pStyle w:val="Heading2"/>
      </w:pPr>
      <w:r>
        <w:t>Chapter 34 — Traceability, Acceptance &amp; Downstream Handover</w:t>
      </w:r>
    </w:p>
    <w:p>
      <w:r>
        <w:t>Chapter Purpose. Close traceability and downstream handover.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Skeleton approval authorizes expansion only; approval does not prove rule correctness/data availability/readiness/testing.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acceptance</w:t>
      </w:r>
    </w:p>
    <w:p>
      <w:pPr>
        <w:pStyle w:val="ListBullet"/>
      </w:pPr>
      <w:r>
        <w:t>fidelity</w:t>
      </w:r>
    </w:p>
    <w:p>
      <w:pPr>
        <w:pStyle w:val="ListBullet"/>
      </w:pPr>
      <w:r>
        <w:t>HR gate</w:t>
      </w:r>
    </w:p>
    <w:p>
      <w:pPr>
        <w:pStyle w:val="ListBullet"/>
      </w:pPr>
      <w:r>
        <w:t>downstream handover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skeleton and controlled expansion.</w:t>
      </w:r>
    </w:p>
    <w:p>
      <w:pPr>
        <w:pStyle w:val="Heading1"/>
      </w:pPr>
      <w:r>
        <w:t>Preliminary Human Review Themes</w:t>
      </w:r>
    </w:p>
    <w:p>
      <w:pPr>
        <w:pStyle w:val="ListBullet"/>
      </w:pPr>
      <w:r>
        <w:t>Formal NCIE-013 title and acceptance authority.</w:t>
      </w:r>
    </w:p>
    <w:p>
      <w:pPr>
        <w:pStyle w:val="ListBullet"/>
      </w:pPr>
      <w:r>
        <w:t>Common domain-state/lifecycle vocabulary.</w:t>
      </w:r>
    </w:p>
    <w:p>
      <w:pPr>
        <w:pStyle w:val="ListBullet"/>
      </w:pPr>
      <w:r>
        <w:t>Required datasets/source precedence per module.</w:t>
      </w:r>
    </w:p>
    <w:p>
      <w:pPr>
        <w:pStyle w:val="ListBullet"/>
      </w:pPr>
      <w:r>
        <w:t>Rule/KPI/threshold ownership and approval.</w:t>
      </w:r>
    </w:p>
    <w:p>
      <w:pPr>
        <w:pStyle w:val="ListBullet"/>
      </w:pPr>
      <w:r>
        <w:t>Approved anomaly/risk-score uses and prohibited automation.</w:t>
      </w:r>
    </w:p>
    <w:p>
      <w:pPr>
        <w:pStyle w:val="ListBullet"/>
      </w:pPr>
      <w:r>
        <w:t>Alert/Situation severity/escalation taxonomy.</w:t>
      </w:r>
    </w:p>
    <w:p>
      <w:pPr>
        <w:pStyle w:val="ListBullet"/>
      </w:pPr>
      <w:r>
        <w:t>Case/referral authority.</w:t>
      </w:r>
    </w:p>
    <w:p>
      <w:pPr>
        <w:pStyle w:val="ListBullet"/>
      </w:pPr>
      <w:r>
        <w:t>Permitted cross-domain correlation purposes.</w:t>
      </w:r>
    </w:p>
    <w:p>
      <w:pPr>
        <w:pStyle w:val="ListBullet"/>
      </w:pPr>
      <w:r>
        <w:t>Network/traffic/revenue KPI and materiality thresholds.</w:t>
      </w:r>
    </w:p>
    <w:p>
      <w:pPr>
        <w:pStyle w:val="ListBullet"/>
      </w:pPr>
      <w:r>
        <w:t>Mobile Money/SIM privacy and purpose constraints.</w:t>
      </w:r>
    </w:p>
    <w:p>
      <w:pPr>
        <w:pStyle w:val="ListBullet"/>
      </w:pPr>
      <w:r>
        <w:t>Fraud typologies and REWS indicator catalogue.</w:t>
      </w:r>
    </w:p>
    <w:p>
      <w:pPr>
        <w:pStyle w:val="ListBullet"/>
      </w:pPr>
      <w:r>
        <w:t>Peer-group/benchmark governance.</w:t>
      </w:r>
    </w:p>
    <w:p>
      <w:pPr>
        <w:pStyle w:val="ListBullet"/>
      </w:pPr>
      <w:r>
        <w:t>Forecast use restrictions.</w:t>
      </w:r>
    </w:p>
    <w:p>
      <w:pPr>
        <w:pStyle w:val="ListBullet"/>
      </w:pPr>
      <w:r>
        <w:t>Domain Evidence package requirements.</w:t>
      </w:r>
    </w:p>
    <w:p>
      <w:pPr>
        <w:pStyle w:val="ListBullet"/>
      </w:pPr>
      <w:r>
        <w:t>ARGUS/Agent domain-assistance limits.</w:t>
      </w:r>
    </w:p>
    <w:p>
      <w:pPr>
        <w:pStyle w:val="ListBullet"/>
      </w:pPr>
      <w:r>
        <w:t>Domain review authorities.</w:t>
      </w:r>
    </w:p>
    <w:p>
      <w:pPr>
        <w:pStyle w:val="ListBullet"/>
      </w:pPr>
      <w:r>
        <w:t>Standard versus bespoke connectors.</w:t>
      </w:r>
    </w:p>
    <w:p>
      <w:pPr>
        <w:pStyle w:val="ListBullet"/>
      </w:pPr>
      <w:r>
        <w:t>Module workspace layouts.</w:t>
      </w:r>
    </w:p>
    <w:p>
      <w:pPr>
        <w:pStyle w:val="ListBullet"/>
      </w:pPr>
      <w:r>
        <w:t>Data-quality suppression/qualification rules.</w:t>
      </w:r>
    </w:p>
    <w:p>
      <w:pPr>
        <w:pStyle w:val="ListBullet"/>
      </w:pPr>
      <w:r>
        <w:t>Domain configuration approval.</w:t>
      </w:r>
    </w:p>
    <w:p>
      <w:pPr>
        <w:pStyle w:val="ListBullet"/>
      </w:pPr>
      <w:r>
        <w:t>Freshness/degraded-operation expectations.</w:t>
      </w:r>
    </w:p>
    <w:p>
      <w:pPr>
        <w:pStyle w:val="ListBullet"/>
      </w:pPr>
      <w:r>
        <w:t>Scenario/test acceptance authority.</w:t>
      </w:r>
    </w:p>
    <w:p>
      <w:pPr>
        <w:pStyle w:val="Heading1"/>
      </w:pPr>
      <w:r>
        <w:t>Skeletal Acceptance Gate</w:t>
      </w:r>
    </w:p>
    <w:p>
      <w:r>
        <w:t>This v0.1 skeleton is for Human structural/conceptual review only. Approval authorizes preparation of a separate Claude full-expansion directive. It does not resolve domain policy/rule/threshold decisions, prove data availability, validate analytical logic, or establish test execution.</w:t>
      </w:r>
    </w:p>
    <w:p>
      <w:r>
        <w:t>FULL EXPANSION STATUS: NOT AUTHORIZED UNTIL EXPLICIT HUMAN APPROVAL OF THIS SKELETAL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SKELETAL DOCUMENT — NOT APPROVED FOR FULL EXPANSION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NCIE-013 | DOMAIN FUNCTIONAL MODULES | SKELETAL v0.1 |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