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NCIE-013 Skeletal v0.1 → Full v1.0</w:t>
      </w:r>
    </w:p>
    <w:p>
      <w:pPr>
        <w:spacing w:after="100"/>
        <w:jc w:val="center"/>
      </w:pPr>
      <w:r>
        <w:rPr>
          <w:b/>
          <w:bCs/>
          <w:sz w:val="26"/>
          <w:szCs w:val="26"/>
        </w:rPr>
        <w:t xml:space="preserve">Full-Expansion Change Register</w:t>
      </w:r>
    </w:p>
    <w:p>
      <w:pPr>
        <w:spacing w:after="240"/>
        <w:jc w:val="center"/>
      </w:pPr>
      <w:r>
        <w:rPr>
          <w:i/>
          <w:iCs/>
          <w:sz w:val="19"/>
          <w:szCs w:val="19"/>
        </w:rPr>
        <w:t xml:space="preserve">Functional Modules Specification — IN DEVELOPMENT / FOR HUMAN REVIEW</w:t>
      </w:r>
    </w:p>
    <w:p>
      <w:pPr>
        <w:spacing w:after="80" w:before="0"/>
      </w:pPr>
      <w:r>
        <w:rPr>
          <w:b/>
          <w:bCs/>
          <w:sz w:val="20"/>
          <w:szCs w:val="20"/>
        </w:rPr>
        <w:t xml:space="preserve">Formal-Title Reconciliation (Directive Item 3)</w:t>
      </w:r>
    </w:p>
    <w:p>
      <w:pPr>
        <w:spacing w:after="200"/>
      </w:pPr>
      <w:r>
        <w:rPr>
          <w:sz w:val="19"/>
          <w:szCs w:val="19"/>
        </w:rPr>
        <w:t xml:space="preserve">The Skeletal v0.1 working title 'NCIE-013 — Domain Functional Modules Specification' was checked against the Master Controlled Register per directive item 3. The authoritative source located is the NCIE Documentation Suite Master Controlled Register v2.0 (FOR APPROVAL, 02 September 2026), Section 3, whose NCIE-013 entry records the formal title as 'Functional Modules Specification' with a Primary Purpose matching this document's actual Network/Traffic/Revenue/Mobile Money/SIM Registration/Anti-Fraud/REWS scope exactly — a SEMANTIC MATCH / DOCUMENT-CONTROL WORDING DIFFERS result (the register omits 'Domain'; no material discrepancy). The document-control title has accordingly been corrected to 'NCIE-013 — Functional Modules Specification'; no approved chapter substance was altered. This is recorded as Human Review item HR13-1-1, which remains open pending institutional confirmation of acceptance authority and module ownership.</w:t>
      </w:r>
    </w:p>
    <w:p>
      <w:pPr>
        <w:spacing w:after="80" w:before="0"/>
      </w:pPr>
      <w:r>
        <w:rPr>
          <w:b/>
          <w:bCs/>
          <w:sz w:val="20"/>
          <w:szCs w:val="20"/>
        </w:rPr>
        <w:t xml:space="preserve">Pre-Approval Surgical Correction Record</w:t>
      </w:r>
    </w:p>
    <w:p>
      <w:pPr>
        <w:spacing w:after="200"/>
      </w:pPr>
      <w:r>
        <w:rPr>
          <w:sz w:val="19"/>
          <w:szCs w:val="19"/>
        </w:rPr>
        <w:t xml:space="preserve">This is a pre-approval correction applied to v1.0 while it remains IN DEVELOPMENT / FOR HUMAN REVIEW — not a v1.0→v1.1 amendment. Defect: the originally delivered v1.0 stated that no Master Controlled Register was supplied and retained the skeleton's working title unverified. Correction: the NCIE Documentation Suite Master Controlled Register v2.0 was located, its NCIE-013 entry retrieved, and the formal title reconciled as described above; the false source-availability statements in §0.1, §0.9 and HR13-1-1 were replaced with source-grounded statements. Result: document-control title wording corrected in the cover, §0.1, Document Governance table, Authority Chain, running header, §34.6 and core document properties. Substantive-architecture impact: NONE — all 34 chapters, all 34/34 Salient Things to Note subsections, the full domain-module architecture, and the 34-item Human Review Register (34 total / 30 Blocking / 4 Non-Blocking, 0 duplicate, 0 orphan) are unchanged and were independently re-verified after this correction.</w:t>
      </w:r>
    </w:p>
    <w:p>
      <w:pPr>
        <w:spacing w:after="200"/>
      </w:pPr>
      <w:r>
        <w:rPr>
          <w:sz w:val="19"/>
          <w:szCs w:val="19"/>
        </w:rPr>
        <w:t xml:space="preserve">Maps each of the 34 approved NCIE-013 Skeletal v0.1 chapters to its expanded v1.0 location, states the authority basis for the expansion, and records the effect on that chapter's Human Review Focus item. No chapter was added, removed, merged, split or renumbered; every approved chapter purpose, Salient Things to Note, principal component, upstream dependency and Human Review focus is substantively represented below, including an explicit Salient Things to Note subsection in all 34 chapters (directive item 71 hard 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2F5496" w:color="auto" w:val="clear"/>
            <w:tcMar>
              <w:top w:type="dxa" w:w="60"/>
              <w:left w:type="dxa" w:w="80"/>
              <w:bottom w:type="dxa" w:w="60"/>
              <w:right w:type="dxa" w:w="80"/>
            </w:tcMar>
          </w:tcPr>
          <w:p>
            <w:r>
              <w:rPr>
                <w:b/>
                <w:bCs/>
                <w:color w:val="FFFFFF"/>
                <w:sz w:val="17"/>
                <w:szCs w:val="17"/>
              </w:rPr>
              <w:t xml:space="preserve">Ch.</w:t>
            </w:r>
          </w:p>
        </w:tc>
        <w:tc>
          <w:tcPr>
            <w:tcW w:type="dxa" w:w="3200"/>
            <w:shd w:fill="2F5496" w:color="auto" w:val="clear"/>
            <w:tcMar>
              <w:top w:type="dxa" w:w="60"/>
              <w:left w:type="dxa" w:w="80"/>
              <w:bottom w:type="dxa" w:w="60"/>
              <w:right w:type="dxa" w:w="80"/>
            </w:tcMar>
          </w:tcPr>
          <w:p>
            <w:r>
              <w:rPr>
                <w:b/>
                <w:bCs/>
                <w:color w:val="FFFFFF"/>
                <w:sz w:val="17"/>
                <w:szCs w:val="17"/>
              </w:rPr>
              <w:t xml:space="preserve">Approved Skeletal Component (v0.1)</w:t>
            </w:r>
          </w:p>
        </w:tc>
        <w:tc>
          <w:tcPr>
            <w:tcW w:type="dxa" w:w="2600"/>
            <w:shd w:fill="2F5496" w:color="auto" w:val="clear"/>
            <w:tcMar>
              <w:top w:type="dxa" w:w="60"/>
              <w:left w:type="dxa" w:w="80"/>
              <w:bottom w:type="dxa" w:w="60"/>
              <w:right w:type="dxa" w:w="80"/>
            </w:tcMar>
          </w:tcPr>
          <w:p>
            <w:r>
              <w:rPr>
                <w:b/>
                <w:bCs/>
                <w:color w:val="FFFFFF"/>
                <w:sz w:val="17"/>
                <w:szCs w:val="17"/>
              </w:rPr>
              <w:t xml:space="preserve">Expanded Location (v1.0)</w:t>
            </w:r>
          </w:p>
        </w:tc>
        <w:tc>
          <w:tcPr>
            <w:tcW w:type="dxa" w:w="2400"/>
            <w:shd w:fill="2F5496" w:color="auto" w:val="clear"/>
            <w:tcMar>
              <w:top w:type="dxa" w:w="60"/>
              <w:left w:type="dxa" w:w="80"/>
              <w:bottom w:type="dxa" w:w="60"/>
              <w:right w:type="dxa" w:w="80"/>
            </w:tcMar>
          </w:tcPr>
          <w:p>
            <w:r>
              <w:rPr>
                <w:b/>
                <w:bCs/>
                <w:color w:val="FFFFFF"/>
                <w:sz w:val="17"/>
                <w:szCs w:val="17"/>
              </w:rPr>
              <w:t xml:space="preserve">Authority Basis</w:t>
            </w:r>
          </w:p>
        </w:tc>
        <w:tc>
          <w:tcPr>
            <w:tcW w:type="dxa" w:w="2400"/>
            <w:shd w:fill="2F5496" w:color="auto" w:val="clear"/>
            <w:tcMar>
              <w:top w:type="dxa" w:w="60"/>
              <w:left w:type="dxa" w:w="80"/>
              <w:bottom w:type="dxa" w:w="60"/>
              <w:right w:type="dxa" w:w="80"/>
            </w:tcMar>
          </w:tcPr>
          <w:p>
            <w:r>
              <w:rPr>
                <w:b/>
                <w:bCs/>
                <w:color w:val="FFFFFF"/>
                <w:sz w:val="17"/>
                <w:szCs w:val="17"/>
              </w:rPr>
              <w:t xml:space="preserve">Human Review Effect</w:t>
            </w:r>
          </w:p>
        </w:tc>
        <w:tc>
          <w:tcPr>
            <w:tcW w:type="dxa" w:w="1300"/>
            <w:shd w:fill="2F5496" w:color="auto" w:val="clear"/>
            <w:tcMar>
              <w:top w:type="dxa" w:w="60"/>
              <w:left w:type="dxa" w:w="80"/>
              <w:bottom w:type="dxa" w:w="60"/>
              <w:right w:type="dxa" w:w="80"/>
            </w:tcMar>
          </w:tcPr>
          <w:p>
            <w:r>
              <w:rPr>
                <w:b/>
                <w:bCs/>
                <w:color w:val="FFFFFF"/>
                <w:sz w:val="17"/>
                <w:szCs w:val="17"/>
              </w:rPr>
              <w:t xml:space="preserve">Status</w:t>
            </w:r>
          </w:p>
        </w:tc>
      </w:tr>
      <w:tr>
        <w:tc>
          <w:tcPr>
            <w:tcW w:type="dxa" w:w="700"/>
            <w:tcMar>
              <w:top w:type="dxa" w:w="60"/>
              <w:left w:type="dxa" w:w="80"/>
              <w:bottom w:type="dxa" w:w="60"/>
              <w:right w:type="dxa" w:w="80"/>
            </w:tcMar>
          </w:tcPr>
          <w:p>
            <w:r>
              <w:rPr>
                <w:b/>
                <w:bCs/>
                <w:sz w:val="17"/>
                <w:szCs w:val="17"/>
              </w:rPr>
              <w:t xml:space="preserve">1</w:t>
            </w:r>
          </w:p>
        </w:tc>
        <w:tc>
          <w:tcPr>
            <w:tcW w:type="dxa" w:w="3200"/>
            <w:tcMar>
              <w:top w:type="dxa" w:w="60"/>
              <w:left w:type="dxa" w:w="80"/>
              <w:bottom w:type="dxa" w:w="60"/>
              <w:right w:type="dxa" w:w="80"/>
            </w:tcMar>
          </w:tcPr>
          <w:p>
            <w:r>
              <w:rPr>
                <w:b w:val="false"/>
                <w:bCs w:val="false"/>
                <w:sz w:val="17"/>
                <w:szCs w:val="17"/>
              </w:rPr>
              <w:t xml:space="preserve">Mandate, authority chain, domain-module boundary; HR focus: title/acceptance/ownership.</w:t>
            </w:r>
          </w:p>
        </w:tc>
        <w:tc>
          <w:tcPr>
            <w:tcW w:type="dxa" w:w="2600"/>
            <w:tcMar>
              <w:top w:type="dxa" w:w="60"/>
              <w:left w:type="dxa" w:w="80"/>
              <w:bottom w:type="dxa" w:w="60"/>
              <w:right w:type="dxa" w:w="80"/>
            </w:tcMar>
          </w:tcPr>
          <w:p>
            <w:r>
              <w:rPr>
                <w:b w:val="false"/>
                <w:bCs w:val="false"/>
                <w:sz w:val="17"/>
                <w:szCs w:val="17"/>
              </w:rPr>
              <w:t xml:space="preserve">§1.0-1.3, Table 1 (boundary), Table 2 (RACI), HR13-1-1.</w:t>
            </w:r>
          </w:p>
        </w:tc>
        <w:tc>
          <w:tcPr>
            <w:tcW w:type="dxa" w:w="2400"/>
            <w:tcMar>
              <w:top w:type="dxa" w:w="60"/>
              <w:left w:type="dxa" w:w="80"/>
              <w:bottom w:type="dxa" w:w="60"/>
              <w:right w:type="dxa" w:w="80"/>
            </w:tcMar>
          </w:tcPr>
          <w:p>
            <w:r>
              <w:rPr>
                <w:b w:val="false"/>
                <w:bCs w:val="false"/>
                <w:sz w:val="17"/>
                <w:szCs w:val="17"/>
              </w:rPr>
              <w:t xml:space="preserve">NCIE-001-012; NCIE-005/011/012 handovers.</w:t>
            </w:r>
          </w:p>
        </w:tc>
        <w:tc>
          <w:tcPr>
            <w:tcW w:type="dxa" w:w="2400"/>
            <w:tcMar>
              <w:top w:type="dxa" w:w="60"/>
              <w:left w:type="dxa" w:w="80"/>
              <w:bottom w:type="dxa" w:w="60"/>
              <w:right w:type="dxa" w:w="80"/>
            </w:tcMar>
          </w:tcPr>
          <w:p>
            <w:r>
              <w:rPr>
                <w:b w:val="false"/>
                <w:bCs w:val="false"/>
                <w:sz w:val="17"/>
                <w:szCs w:val="17"/>
              </w:rPr>
              <w:t xml:space="preserve">HR13-1-1 includes formal-title reconciliation (§0.1 — corrected to 'Functional Modules Specification' per Master Controlled Register v2.0; acceptance/ownership still open),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w:t>
            </w:r>
          </w:p>
        </w:tc>
        <w:tc>
          <w:tcPr>
            <w:tcW w:type="dxa" w:w="3200"/>
            <w:tcMar>
              <w:top w:type="dxa" w:w="60"/>
              <w:left w:type="dxa" w:w="80"/>
              <w:bottom w:type="dxa" w:w="60"/>
              <w:right w:type="dxa" w:w="80"/>
            </w:tcMar>
          </w:tcPr>
          <w:p>
            <w:r>
              <w:rPr>
                <w:b w:val="false"/>
                <w:bCs w:val="false"/>
                <w:sz w:val="17"/>
                <w:szCs w:val="17"/>
              </w:rPr>
              <w:t xml:space="preserve">Cross-domain functional doctrine; HR focus: common domain-state vocabulary.</w:t>
            </w:r>
          </w:p>
        </w:tc>
        <w:tc>
          <w:tcPr>
            <w:tcW w:type="dxa" w:w="2600"/>
            <w:tcMar>
              <w:top w:type="dxa" w:w="60"/>
              <w:left w:type="dxa" w:w="80"/>
              <w:bottom w:type="dxa" w:w="60"/>
              <w:right w:type="dxa" w:w="80"/>
            </w:tcMar>
          </w:tcPr>
          <w:p>
            <w:r>
              <w:rPr>
                <w:b w:val="false"/>
                <w:bCs w:val="false"/>
                <w:sz w:val="17"/>
                <w:szCs w:val="17"/>
              </w:rPr>
              <w:t xml:space="preserve">§2.0-2.3, Table 3 Domain-State Matrix (item 54), Table 4 (RACI), HR13-2-1.</w:t>
            </w:r>
          </w:p>
        </w:tc>
        <w:tc>
          <w:tcPr>
            <w:tcW w:type="dxa" w:w="2400"/>
            <w:tcMar>
              <w:top w:type="dxa" w:w="60"/>
              <w:left w:type="dxa" w:w="80"/>
              <w:bottom w:type="dxa" w:w="60"/>
              <w:right w:type="dxa" w:w="80"/>
            </w:tcMar>
          </w:tcPr>
          <w:p>
            <w:r>
              <w:rPr>
                <w:b w:val="false"/>
                <w:bCs w:val="false"/>
                <w:sz w:val="17"/>
                <w:szCs w:val="17"/>
              </w:rPr>
              <w:t xml:space="preserve">NCIE-001/003/008/010.</w:t>
            </w:r>
          </w:p>
        </w:tc>
        <w:tc>
          <w:tcPr>
            <w:tcW w:type="dxa" w:w="2400"/>
            <w:tcMar>
              <w:top w:type="dxa" w:w="60"/>
              <w:left w:type="dxa" w:w="80"/>
              <w:bottom w:type="dxa" w:w="60"/>
              <w:right w:type="dxa" w:w="80"/>
            </w:tcMar>
          </w:tcPr>
          <w:p>
            <w:r>
              <w:rPr>
                <w:b w:val="false"/>
                <w:bCs w:val="false"/>
                <w:sz w:val="17"/>
                <w:szCs w:val="17"/>
              </w:rPr>
              <w:t xml:space="preserve">HR13-2-1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w:t>
            </w:r>
          </w:p>
        </w:tc>
        <w:tc>
          <w:tcPr>
            <w:tcW w:type="dxa" w:w="3200"/>
            <w:tcMar>
              <w:top w:type="dxa" w:w="60"/>
              <w:left w:type="dxa" w:w="80"/>
              <w:bottom w:type="dxa" w:w="60"/>
              <w:right w:type="dxa" w:w="80"/>
            </w:tcMar>
          </w:tcPr>
          <w:p>
            <w:r>
              <w:rPr>
                <w:b w:val="false"/>
                <w:bCs w:val="false"/>
                <w:sz w:val="17"/>
                <w:szCs w:val="17"/>
              </w:rPr>
              <w:t xml:space="preserve">Module architecture &amp; common lifecycle; HR focus: common lifecycle exceptions.</w:t>
            </w:r>
          </w:p>
        </w:tc>
        <w:tc>
          <w:tcPr>
            <w:tcW w:type="dxa" w:w="2600"/>
            <w:tcMar>
              <w:top w:type="dxa" w:w="60"/>
              <w:left w:type="dxa" w:w="80"/>
              <w:bottom w:type="dxa" w:w="60"/>
              <w:right w:type="dxa" w:w="80"/>
            </w:tcMar>
          </w:tcPr>
          <w:p>
            <w:r>
              <w:rPr>
                <w:b w:val="false"/>
                <w:bCs w:val="false"/>
                <w:sz w:val="17"/>
                <w:szCs w:val="17"/>
              </w:rPr>
              <w:t xml:space="preserve">§3.0-3.3, Table 5 Module Catalogue Matrix (item 55), Table 6 (RACI), HR13-3-1.</w:t>
            </w:r>
          </w:p>
        </w:tc>
        <w:tc>
          <w:tcPr>
            <w:tcW w:type="dxa" w:w="2400"/>
            <w:tcMar>
              <w:top w:type="dxa" w:w="60"/>
              <w:left w:type="dxa" w:w="80"/>
              <w:bottom w:type="dxa" w:w="60"/>
              <w:right w:type="dxa" w:w="80"/>
            </w:tcMar>
          </w:tcPr>
          <w:p>
            <w:r>
              <w:rPr>
                <w:b w:val="false"/>
                <w:bCs w:val="false"/>
                <w:sz w:val="17"/>
                <w:szCs w:val="17"/>
              </w:rPr>
              <w:t xml:space="preserve">NCIE-002/011/012.</w:t>
            </w:r>
          </w:p>
        </w:tc>
        <w:tc>
          <w:tcPr>
            <w:tcW w:type="dxa" w:w="2400"/>
            <w:tcMar>
              <w:top w:type="dxa" w:w="60"/>
              <w:left w:type="dxa" w:w="80"/>
              <w:bottom w:type="dxa" w:w="60"/>
              <w:right w:type="dxa" w:w="80"/>
            </w:tcMar>
          </w:tcPr>
          <w:p>
            <w:r>
              <w:rPr>
                <w:b w:val="false"/>
                <w:bCs w:val="false"/>
                <w:sz w:val="17"/>
                <w:szCs w:val="17"/>
              </w:rPr>
              <w:t xml:space="preserve">HR13-3-1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w:t>
            </w:r>
          </w:p>
        </w:tc>
        <w:tc>
          <w:tcPr>
            <w:tcW w:type="dxa" w:w="3200"/>
            <w:tcMar>
              <w:top w:type="dxa" w:w="60"/>
              <w:left w:type="dxa" w:w="80"/>
              <w:bottom w:type="dxa" w:w="60"/>
              <w:right w:type="dxa" w:w="80"/>
            </w:tcMar>
          </w:tcPr>
          <w:p>
            <w:r>
              <w:rPr>
                <w:b w:val="false"/>
                <w:bCs w:val="false"/>
                <w:sz w:val="17"/>
                <w:szCs w:val="17"/>
              </w:rPr>
              <w:t xml:space="preserve">Domain data inputs &amp; canonical mapping; HR focus: datasets/source precedence.</w:t>
            </w:r>
          </w:p>
        </w:tc>
        <w:tc>
          <w:tcPr>
            <w:tcW w:type="dxa" w:w="2600"/>
            <w:tcMar>
              <w:top w:type="dxa" w:w="60"/>
              <w:left w:type="dxa" w:w="80"/>
              <w:bottom w:type="dxa" w:w="60"/>
              <w:right w:type="dxa" w:w="80"/>
            </w:tcMar>
          </w:tcPr>
          <w:p>
            <w:r>
              <w:rPr>
                <w:b w:val="false"/>
                <w:bCs w:val="false"/>
                <w:sz w:val="17"/>
                <w:szCs w:val="17"/>
              </w:rPr>
              <w:t xml:space="preserve">§4.0-4.2, Table 7 (RACI), HR13-4-1.</w:t>
            </w:r>
          </w:p>
        </w:tc>
        <w:tc>
          <w:tcPr>
            <w:tcW w:type="dxa" w:w="2400"/>
            <w:tcMar>
              <w:top w:type="dxa" w:w="60"/>
              <w:left w:type="dxa" w:w="80"/>
              <w:bottom w:type="dxa" w:w="60"/>
              <w:right w:type="dxa" w:w="80"/>
            </w:tcMar>
          </w:tcPr>
          <w:p>
            <w:r>
              <w:rPr>
                <w:b w:val="false"/>
                <w:bCs w:val="false"/>
                <w:sz w:val="17"/>
                <w:szCs w:val="17"/>
              </w:rPr>
              <w:t xml:space="preserve">NCIE-003/010/011.</w:t>
            </w:r>
          </w:p>
        </w:tc>
        <w:tc>
          <w:tcPr>
            <w:tcW w:type="dxa" w:w="2400"/>
            <w:tcMar>
              <w:top w:type="dxa" w:w="60"/>
              <w:left w:type="dxa" w:w="80"/>
              <w:bottom w:type="dxa" w:w="60"/>
              <w:right w:type="dxa" w:w="80"/>
            </w:tcMar>
          </w:tcPr>
          <w:p>
            <w:r>
              <w:rPr>
                <w:b w:val="false"/>
                <w:bCs w:val="false"/>
                <w:sz w:val="17"/>
                <w:szCs w:val="17"/>
              </w:rPr>
              <w:t xml:space="preserve">HR13-4-1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5</w:t>
            </w:r>
          </w:p>
        </w:tc>
        <w:tc>
          <w:tcPr>
            <w:tcW w:type="dxa" w:w="3200"/>
            <w:tcMar>
              <w:top w:type="dxa" w:w="60"/>
              <w:left w:type="dxa" w:w="80"/>
              <w:bottom w:type="dxa" w:w="60"/>
              <w:right w:type="dxa" w:w="80"/>
            </w:tcMar>
          </w:tcPr>
          <w:p>
            <w:r>
              <w:rPr>
                <w:b w:val="false"/>
                <w:bCs w:val="false"/>
                <w:sz w:val="17"/>
                <w:szCs w:val="17"/>
              </w:rPr>
              <w:t xml:space="preserve">Domain rule &amp; policy evaluation framework; HR focus: rule-authoring/approval authority.</w:t>
            </w:r>
          </w:p>
        </w:tc>
        <w:tc>
          <w:tcPr>
            <w:tcW w:type="dxa" w:w="2600"/>
            <w:tcMar>
              <w:top w:type="dxa" w:w="60"/>
              <w:left w:type="dxa" w:w="80"/>
              <w:bottom w:type="dxa" w:w="60"/>
              <w:right w:type="dxa" w:w="80"/>
            </w:tcMar>
          </w:tcPr>
          <w:p>
            <w:r>
              <w:rPr>
                <w:b w:val="false"/>
                <w:bCs w:val="false"/>
                <w:sz w:val="17"/>
                <w:szCs w:val="17"/>
              </w:rPr>
              <w:t xml:space="preserve">§5.0-5.2, Table 8 (RACI), HR13-5-1.</w:t>
            </w:r>
          </w:p>
        </w:tc>
        <w:tc>
          <w:tcPr>
            <w:tcW w:type="dxa" w:w="2400"/>
            <w:tcMar>
              <w:top w:type="dxa" w:w="60"/>
              <w:left w:type="dxa" w:w="80"/>
              <w:bottom w:type="dxa" w:w="60"/>
              <w:right w:type="dxa" w:w="80"/>
            </w:tcMar>
          </w:tcPr>
          <w:p>
            <w:r>
              <w:rPr>
                <w:b w:val="false"/>
                <w:bCs w:val="false"/>
                <w:sz w:val="17"/>
                <w:szCs w:val="17"/>
              </w:rPr>
              <w:t xml:space="preserve">NCIE-003/008.</w:t>
            </w:r>
          </w:p>
        </w:tc>
        <w:tc>
          <w:tcPr>
            <w:tcW w:type="dxa" w:w="2400"/>
            <w:tcMar>
              <w:top w:type="dxa" w:w="60"/>
              <w:left w:type="dxa" w:w="80"/>
              <w:bottom w:type="dxa" w:w="60"/>
              <w:right w:type="dxa" w:w="80"/>
            </w:tcMar>
          </w:tcPr>
          <w:p>
            <w:r>
              <w:rPr>
                <w:b w:val="false"/>
                <w:bCs w:val="false"/>
                <w:sz w:val="17"/>
                <w:szCs w:val="17"/>
              </w:rPr>
              <w:t xml:space="preserve">HR13-5-1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6</w:t>
            </w:r>
          </w:p>
        </w:tc>
        <w:tc>
          <w:tcPr>
            <w:tcW w:type="dxa" w:w="3200"/>
            <w:tcMar>
              <w:top w:type="dxa" w:w="60"/>
              <w:left w:type="dxa" w:w="80"/>
              <w:bottom w:type="dxa" w:w="60"/>
              <w:right w:type="dxa" w:w="80"/>
            </w:tcMar>
          </w:tcPr>
          <w:p>
            <w:r>
              <w:rPr>
                <w:b w:val="false"/>
                <w:bCs w:val="false"/>
                <w:sz w:val="17"/>
                <w:szCs w:val="17"/>
              </w:rPr>
              <w:t xml:space="preserve">KPI, threshold &amp; baseline framework; HR focus: KPI catalogue/thresholds.</w:t>
            </w:r>
          </w:p>
        </w:tc>
        <w:tc>
          <w:tcPr>
            <w:tcW w:type="dxa" w:w="2600"/>
            <w:tcMar>
              <w:top w:type="dxa" w:w="60"/>
              <w:left w:type="dxa" w:w="80"/>
              <w:bottom w:type="dxa" w:w="60"/>
              <w:right w:type="dxa" w:w="80"/>
            </w:tcMar>
          </w:tcPr>
          <w:p>
            <w:r>
              <w:rPr>
                <w:b w:val="false"/>
                <w:bCs w:val="false"/>
                <w:sz w:val="17"/>
                <w:szCs w:val="17"/>
              </w:rPr>
              <w:t xml:space="preserve">§6.0-6.3, Table 9 Rule/KPI Governance Matrix (item 56), Table 10 (RACI), HR13-6-1.</w:t>
            </w:r>
          </w:p>
        </w:tc>
        <w:tc>
          <w:tcPr>
            <w:tcW w:type="dxa" w:w="2400"/>
            <w:tcMar>
              <w:top w:type="dxa" w:w="60"/>
              <w:left w:type="dxa" w:w="80"/>
              <w:bottom w:type="dxa" w:w="60"/>
              <w:right w:type="dxa" w:w="80"/>
            </w:tcMar>
          </w:tcPr>
          <w:p>
            <w:r>
              <w:rPr>
                <w:b w:val="false"/>
                <w:bCs w:val="false"/>
                <w:sz w:val="17"/>
                <w:szCs w:val="17"/>
              </w:rPr>
              <w:t xml:space="preserve">NCIE-001/003.</w:t>
            </w:r>
          </w:p>
        </w:tc>
        <w:tc>
          <w:tcPr>
            <w:tcW w:type="dxa" w:w="2400"/>
            <w:tcMar>
              <w:top w:type="dxa" w:w="60"/>
              <w:left w:type="dxa" w:w="80"/>
              <w:bottom w:type="dxa" w:w="60"/>
              <w:right w:type="dxa" w:w="80"/>
            </w:tcMar>
          </w:tcPr>
          <w:p>
            <w:r>
              <w:rPr>
                <w:b w:val="false"/>
                <w:bCs w:val="false"/>
                <w:sz w:val="17"/>
                <w:szCs w:val="17"/>
              </w:rPr>
              <w:t xml:space="preserve">HR13-6-1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7</w:t>
            </w:r>
          </w:p>
        </w:tc>
        <w:tc>
          <w:tcPr>
            <w:tcW w:type="dxa" w:w="3200"/>
            <w:tcMar>
              <w:top w:type="dxa" w:w="60"/>
              <w:left w:type="dxa" w:w="80"/>
              <w:bottom w:type="dxa" w:w="60"/>
              <w:right w:type="dxa" w:w="80"/>
            </w:tcMar>
          </w:tcPr>
          <w:p>
            <w:r>
              <w:rPr>
                <w:b w:val="false"/>
                <w:bCs w:val="false"/>
                <w:sz w:val="17"/>
                <w:szCs w:val="17"/>
              </w:rPr>
              <w:t xml:space="preserve">Anomaly, risk &amp; scoring framework; HR focus: score uses/prohibited automation.</w:t>
            </w:r>
          </w:p>
        </w:tc>
        <w:tc>
          <w:tcPr>
            <w:tcW w:type="dxa" w:w="2600"/>
            <w:tcMar>
              <w:top w:type="dxa" w:w="60"/>
              <w:left w:type="dxa" w:w="80"/>
              <w:bottom w:type="dxa" w:w="60"/>
              <w:right w:type="dxa" w:w="80"/>
            </w:tcMar>
          </w:tcPr>
          <w:p>
            <w:r>
              <w:rPr>
                <w:b w:val="false"/>
                <w:bCs w:val="false"/>
                <w:sz w:val="17"/>
                <w:szCs w:val="17"/>
              </w:rPr>
              <w:t xml:space="preserve">§7.0-7.2, Table 11 (RACI), HR13-7-1.</w:t>
            </w:r>
          </w:p>
        </w:tc>
        <w:tc>
          <w:tcPr>
            <w:tcW w:type="dxa" w:w="2400"/>
            <w:tcMar>
              <w:top w:type="dxa" w:w="60"/>
              <w:left w:type="dxa" w:w="80"/>
              <w:bottom w:type="dxa" w:w="60"/>
              <w:right w:type="dxa" w:w="80"/>
            </w:tcMar>
          </w:tcPr>
          <w:p>
            <w:r>
              <w:rPr>
                <w:b w:val="false"/>
                <w:bCs w:val="false"/>
                <w:sz w:val="17"/>
                <w:szCs w:val="17"/>
              </w:rPr>
              <w:t xml:space="preserve">NCIE-007/008/010.</w:t>
            </w:r>
          </w:p>
        </w:tc>
        <w:tc>
          <w:tcPr>
            <w:tcW w:type="dxa" w:w="2400"/>
            <w:tcMar>
              <w:top w:type="dxa" w:w="60"/>
              <w:left w:type="dxa" w:w="80"/>
              <w:bottom w:type="dxa" w:w="60"/>
              <w:right w:type="dxa" w:w="80"/>
            </w:tcMar>
          </w:tcPr>
          <w:p>
            <w:r>
              <w:rPr>
                <w:b w:val="false"/>
                <w:bCs w:val="false"/>
                <w:sz w:val="17"/>
                <w:szCs w:val="17"/>
              </w:rPr>
              <w:t xml:space="preserve">HR13-7-1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8</w:t>
            </w:r>
          </w:p>
        </w:tc>
        <w:tc>
          <w:tcPr>
            <w:tcW w:type="dxa" w:w="3200"/>
            <w:tcMar>
              <w:top w:type="dxa" w:w="60"/>
              <w:left w:type="dxa" w:w="80"/>
              <w:bottom w:type="dxa" w:w="60"/>
              <w:right w:type="dxa" w:w="80"/>
            </w:tcMar>
          </w:tcPr>
          <w:p>
            <w:r>
              <w:rPr>
                <w:b w:val="false"/>
                <w:bCs w:val="false"/>
                <w:sz w:val="17"/>
                <w:szCs w:val="17"/>
              </w:rPr>
              <w:t xml:space="preserve">Alert, Situation &amp; escalation framework; HR focus: severity/escalation taxonomy.</w:t>
            </w:r>
          </w:p>
        </w:tc>
        <w:tc>
          <w:tcPr>
            <w:tcW w:type="dxa" w:w="2600"/>
            <w:tcMar>
              <w:top w:type="dxa" w:w="60"/>
              <w:left w:type="dxa" w:w="80"/>
              <w:bottom w:type="dxa" w:w="60"/>
              <w:right w:type="dxa" w:w="80"/>
            </w:tcMar>
          </w:tcPr>
          <w:p>
            <w:r>
              <w:rPr>
                <w:b w:val="false"/>
                <w:bCs w:val="false"/>
                <w:sz w:val="17"/>
                <w:szCs w:val="17"/>
              </w:rPr>
              <w:t xml:space="preserve">§8.0-8.2, Table 12 (RACI), HR13-8-1.</w:t>
            </w:r>
          </w:p>
        </w:tc>
        <w:tc>
          <w:tcPr>
            <w:tcW w:type="dxa" w:w="2400"/>
            <w:tcMar>
              <w:top w:type="dxa" w:w="60"/>
              <w:left w:type="dxa" w:w="80"/>
              <w:bottom w:type="dxa" w:w="60"/>
              <w:right w:type="dxa" w:w="80"/>
            </w:tcMar>
          </w:tcPr>
          <w:p>
            <w:r>
              <w:rPr>
                <w:b w:val="false"/>
                <w:bCs w:val="false"/>
                <w:sz w:val="17"/>
                <w:szCs w:val="17"/>
              </w:rPr>
              <w:t xml:space="preserve">NCIE-001/002/005/012.</w:t>
            </w:r>
          </w:p>
        </w:tc>
        <w:tc>
          <w:tcPr>
            <w:tcW w:type="dxa" w:w="2400"/>
            <w:tcMar>
              <w:top w:type="dxa" w:w="60"/>
              <w:left w:type="dxa" w:w="80"/>
              <w:bottom w:type="dxa" w:w="60"/>
              <w:right w:type="dxa" w:w="80"/>
            </w:tcMar>
          </w:tcPr>
          <w:p>
            <w:r>
              <w:rPr>
                <w:b w:val="false"/>
                <w:bCs w:val="false"/>
                <w:sz w:val="17"/>
                <w:szCs w:val="17"/>
              </w:rPr>
              <w:t xml:space="preserve">HR13-8-1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9</w:t>
            </w:r>
          </w:p>
        </w:tc>
        <w:tc>
          <w:tcPr>
            <w:tcW w:type="dxa" w:w="3200"/>
            <w:tcMar>
              <w:top w:type="dxa" w:w="60"/>
              <w:left w:type="dxa" w:w="80"/>
              <w:bottom w:type="dxa" w:w="60"/>
              <w:right w:type="dxa" w:w="80"/>
            </w:tcMar>
          </w:tcPr>
          <w:p>
            <w:r>
              <w:rPr>
                <w:b w:val="false"/>
                <w:bCs w:val="false"/>
                <w:sz w:val="17"/>
                <w:szCs w:val="17"/>
              </w:rPr>
              <w:t xml:space="preserve">Case/investigation handoff; HR focus: case-creation/referral authority.</w:t>
            </w:r>
          </w:p>
        </w:tc>
        <w:tc>
          <w:tcPr>
            <w:tcW w:type="dxa" w:w="2600"/>
            <w:tcMar>
              <w:top w:type="dxa" w:w="60"/>
              <w:left w:type="dxa" w:w="80"/>
              <w:bottom w:type="dxa" w:w="60"/>
              <w:right w:type="dxa" w:w="80"/>
            </w:tcMar>
          </w:tcPr>
          <w:p>
            <w:r>
              <w:rPr>
                <w:b w:val="false"/>
                <w:bCs w:val="false"/>
                <w:sz w:val="17"/>
                <w:szCs w:val="17"/>
              </w:rPr>
              <w:t xml:space="preserve">§9.0-9.2, Table 13 (RACI), HR13-9-1.</w:t>
            </w:r>
          </w:p>
        </w:tc>
        <w:tc>
          <w:tcPr>
            <w:tcW w:type="dxa" w:w="2400"/>
            <w:tcMar>
              <w:top w:type="dxa" w:w="60"/>
              <w:left w:type="dxa" w:w="80"/>
              <w:bottom w:type="dxa" w:w="60"/>
              <w:right w:type="dxa" w:w="80"/>
            </w:tcMar>
          </w:tcPr>
          <w:p>
            <w:r>
              <w:rPr>
                <w:b w:val="false"/>
                <w:bCs w:val="false"/>
                <w:sz w:val="17"/>
                <w:szCs w:val="17"/>
              </w:rPr>
              <w:t xml:space="preserve">NCIE-001/010/012.</w:t>
            </w:r>
          </w:p>
        </w:tc>
        <w:tc>
          <w:tcPr>
            <w:tcW w:type="dxa" w:w="2400"/>
            <w:tcMar>
              <w:top w:type="dxa" w:w="60"/>
              <w:left w:type="dxa" w:w="80"/>
              <w:bottom w:type="dxa" w:w="60"/>
              <w:right w:type="dxa" w:w="80"/>
            </w:tcMar>
          </w:tcPr>
          <w:p>
            <w:r>
              <w:rPr>
                <w:b w:val="false"/>
                <w:bCs w:val="false"/>
                <w:sz w:val="17"/>
                <w:szCs w:val="17"/>
              </w:rPr>
              <w:t xml:space="preserve">HR13-9-1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10</w:t>
            </w:r>
          </w:p>
        </w:tc>
        <w:tc>
          <w:tcPr>
            <w:tcW w:type="dxa" w:w="3200"/>
            <w:tcMar>
              <w:top w:type="dxa" w:w="60"/>
              <w:left w:type="dxa" w:w="80"/>
              <w:bottom w:type="dxa" w:w="60"/>
              <w:right w:type="dxa" w:w="80"/>
            </w:tcMar>
          </w:tcPr>
          <w:p>
            <w:r>
              <w:rPr>
                <w:b w:val="false"/>
                <w:bCs w:val="false"/>
                <w:sz w:val="17"/>
                <w:szCs w:val="17"/>
              </w:rPr>
              <w:t xml:space="preserve">Cross-domain correlation &amp; fusion; HR focus: permitted cross-domain purposes.</w:t>
            </w:r>
          </w:p>
        </w:tc>
        <w:tc>
          <w:tcPr>
            <w:tcW w:type="dxa" w:w="2600"/>
            <w:tcMar>
              <w:top w:type="dxa" w:w="60"/>
              <w:left w:type="dxa" w:w="80"/>
              <w:bottom w:type="dxa" w:w="60"/>
              <w:right w:type="dxa" w:w="80"/>
            </w:tcMar>
          </w:tcPr>
          <w:p>
            <w:r>
              <w:rPr>
                <w:b w:val="false"/>
                <w:bCs w:val="false"/>
                <w:sz w:val="17"/>
                <w:szCs w:val="17"/>
              </w:rPr>
              <w:t xml:space="preserve">§10.0-10.3, Table 14 Cross-Domain Correlation Matrix (item 57), Table 15 (RACI), HR13-10-1.</w:t>
            </w:r>
          </w:p>
        </w:tc>
        <w:tc>
          <w:tcPr>
            <w:tcW w:type="dxa" w:w="2400"/>
            <w:tcMar>
              <w:top w:type="dxa" w:w="60"/>
              <w:left w:type="dxa" w:w="80"/>
              <w:bottom w:type="dxa" w:w="60"/>
              <w:right w:type="dxa" w:w="80"/>
            </w:tcMar>
          </w:tcPr>
          <w:p>
            <w:r>
              <w:rPr>
                <w:b w:val="false"/>
                <w:bCs w:val="false"/>
                <w:sz w:val="17"/>
                <w:szCs w:val="17"/>
              </w:rPr>
              <w:t xml:space="preserve">NCIE-003/006/009/010.</w:t>
            </w:r>
          </w:p>
        </w:tc>
        <w:tc>
          <w:tcPr>
            <w:tcW w:type="dxa" w:w="2400"/>
            <w:tcMar>
              <w:top w:type="dxa" w:w="60"/>
              <w:left w:type="dxa" w:w="80"/>
              <w:bottom w:type="dxa" w:w="60"/>
              <w:right w:type="dxa" w:w="80"/>
            </w:tcMar>
          </w:tcPr>
          <w:p>
            <w:r>
              <w:rPr>
                <w:b w:val="false"/>
                <w:bCs w:val="false"/>
                <w:sz w:val="17"/>
                <w:szCs w:val="17"/>
              </w:rPr>
              <w:t xml:space="preserve">HR13-10-1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11</w:t>
            </w:r>
          </w:p>
        </w:tc>
        <w:tc>
          <w:tcPr>
            <w:tcW w:type="dxa" w:w="3200"/>
            <w:tcMar>
              <w:top w:type="dxa" w:w="60"/>
              <w:left w:type="dxa" w:w="80"/>
              <w:bottom w:type="dxa" w:w="60"/>
              <w:right w:type="dxa" w:w="80"/>
            </w:tcMar>
          </w:tcPr>
          <w:p>
            <w:r>
              <w:rPr>
                <w:b w:val="false"/>
                <w:bCs w:val="false"/>
                <w:sz w:val="17"/>
                <w:szCs w:val="17"/>
              </w:rPr>
              <w:t xml:space="preserve">Network Performance &amp; Quality module; HR focus: KPI catalogue/regulatory thresholds.</w:t>
            </w:r>
          </w:p>
        </w:tc>
        <w:tc>
          <w:tcPr>
            <w:tcW w:type="dxa" w:w="2600"/>
            <w:tcMar>
              <w:top w:type="dxa" w:w="60"/>
              <w:left w:type="dxa" w:w="80"/>
              <w:bottom w:type="dxa" w:w="60"/>
              <w:right w:type="dxa" w:w="80"/>
            </w:tcMar>
          </w:tcPr>
          <w:p>
            <w:r>
              <w:rPr>
                <w:b w:val="false"/>
                <w:bCs w:val="false"/>
                <w:sz w:val="17"/>
                <w:szCs w:val="17"/>
              </w:rPr>
              <w:t xml:space="preserve">§11.0-11.2, Table 16 (RACI), HR13-11-1.</w:t>
            </w:r>
          </w:p>
        </w:tc>
        <w:tc>
          <w:tcPr>
            <w:tcW w:type="dxa" w:w="2400"/>
            <w:tcMar>
              <w:top w:type="dxa" w:w="60"/>
              <w:left w:type="dxa" w:w="80"/>
              <w:bottom w:type="dxa" w:w="60"/>
              <w:right w:type="dxa" w:w="80"/>
            </w:tcMar>
          </w:tcPr>
          <w:p>
            <w:r>
              <w:rPr>
                <w:b w:val="false"/>
                <w:bCs w:val="false"/>
                <w:sz w:val="17"/>
                <w:szCs w:val="17"/>
              </w:rPr>
              <w:t xml:space="preserve">NCIE-001/003/011.</w:t>
            </w:r>
          </w:p>
        </w:tc>
        <w:tc>
          <w:tcPr>
            <w:tcW w:type="dxa" w:w="2400"/>
            <w:tcMar>
              <w:top w:type="dxa" w:w="60"/>
              <w:left w:type="dxa" w:w="80"/>
              <w:bottom w:type="dxa" w:w="60"/>
              <w:right w:type="dxa" w:w="80"/>
            </w:tcMar>
          </w:tcPr>
          <w:p>
            <w:r>
              <w:rPr>
                <w:b w:val="false"/>
                <w:bCs w:val="false"/>
                <w:sz w:val="17"/>
                <w:szCs w:val="17"/>
              </w:rPr>
              <w:t xml:space="preserve">HR13-11-1 preserved verbatim, reclassified LEGAL/POLICY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12</w:t>
            </w:r>
          </w:p>
        </w:tc>
        <w:tc>
          <w:tcPr>
            <w:tcW w:type="dxa" w:w="3200"/>
            <w:tcMar>
              <w:top w:type="dxa" w:w="60"/>
              <w:left w:type="dxa" w:w="80"/>
              <w:bottom w:type="dxa" w:w="60"/>
              <w:right w:type="dxa" w:w="80"/>
            </w:tcMar>
          </w:tcPr>
          <w:p>
            <w:r>
              <w:rPr>
                <w:b w:val="false"/>
                <w:bCs w:val="false"/>
                <w:sz w:val="17"/>
                <w:szCs w:val="17"/>
              </w:rPr>
              <w:t xml:space="preserve">Traffic &amp; Usage Intelligence module; HR focus: classifications/thresholds.</w:t>
            </w:r>
          </w:p>
        </w:tc>
        <w:tc>
          <w:tcPr>
            <w:tcW w:type="dxa" w:w="2600"/>
            <w:tcMar>
              <w:top w:type="dxa" w:w="60"/>
              <w:left w:type="dxa" w:w="80"/>
              <w:bottom w:type="dxa" w:w="60"/>
              <w:right w:type="dxa" w:w="80"/>
            </w:tcMar>
          </w:tcPr>
          <w:p>
            <w:r>
              <w:rPr>
                <w:b w:val="false"/>
                <w:bCs w:val="false"/>
                <w:sz w:val="17"/>
                <w:szCs w:val="17"/>
              </w:rPr>
              <w:t xml:space="preserve">§12.0-12.2, Table 17 (RACI), HR13-12-1.</w:t>
            </w:r>
          </w:p>
        </w:tc>
        <w:tc>
          <w:tcPr>
            <w:tcW w:type="dxa" w:w="2400"/>
            <w:tcMar>
              <w:top w:type="dxa" w:w="60"/>
              <w:left w:type="dxa" w:w="80"/>
              <w:bottom w:type="dxa" w:w="60"/>
              <w:right w:type="dxa" w:w="80"/>
            </w:tcMar>
          </w:tcPr>
          <w:p>
            <w:r>
              <w:rPr>
                <w:b w:val="false"/>
                <w:bCs w:val="false"/>
                <w:sz w:val="17"/>
                <w:szCs w:val="17"/>
              </w:rPr>
              <w:t xml:space="preserve">NCIE-001/003.</w:t>
            </w:r>
          </w:p>
        </w:tc>
        <w:tc>
          <w:tcPr>
            <w:tcW w:type="dxa" w:w="2400"/>
            <w:tcMar>
              <w:top w:type="dxa" w:w="60"/>
              <w:left w:type="dxa" w:w="80"/>
              <w:bottom w:type="dxa" w:w="60"/>
              <w:right w:type="dxa" w:w="80"/>
            </w:tcMar>
          </w:tcPr>
          <w:p>
            <w:r>
              <w:rPr>
                <w:b w:val="false"/>
                <w:bCs w:val="false"/>
                <w:sz w:val="17"/>
                <w:szCs w:val="17"/>
              </w:rPr>
              <w:t xml:space="preserve">HR13-12-1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13</w:t>
            </w:r>
          </w:p>
        </w:tc>
        <w:tc>
          <w:tcPr>
            <w:tcW w:type="dxa" w:w="3200"/>
            <w:tcMar>
              <w:top w:type="dxa" w:w="60"/>
              <w:left w:type="dxa" w:w="80"/>
              <w:bottom w:type="dxa" w:w="60"/>
              <w:right w:type="dxa" w:w="80"/>
            </w:tcMar>
          </w:tcPr>
          <w:p>
            <w:r>
              <w:rPr>
                <w:b w:val="false"/>
                <w:bCs w:val="false"/>
                <w:sz w:val="17"/>
                <w:szCs w:val="17"/>
              </w:rPr>
              <w:t xml:space="preserve">Revenue &amp; Financial Assurance module; HR focus: source precedence/materiality.</w:t>
            </w:r>
          </w:p>
        </w:tc>
        <w:tc>
          <w:tcPr>
            <w:tcW w:type="dxa" w:w="2600"/>
            <w:tcMar>
              <w:top w:type="dxa" w:w="60"/>
              <w:left w:type="dxa" w:w="80"/>
              <w:bottom w:type="dxa" w:w="60"/>
              <w:right w:type="dxa" w:w="80"/>
            </w:tcMar>
          </w:tcPr>
          <w:p>
            <w:r>
              <w:rPr>
                <w:b w:val="false"/>
                <w:bCs w:val="false"/>
                <w:sz w:val="17"/>
                <w:szCs w:val="17"/>
              </w:rPr>
              <w:t xml:space="preserve">§13.0-13.2, Table 18 (RACI), HR13-13-1.</w:t>
            </w:r>
          </w:p>
        </w:tc>
        <w:tc>
          <w:tcPr>
            <w:tcW w:type="dxa" w:w="2400"/>
            <w:tcMar>
              <w:top w:type="dxa" w:w="60"/>
              <w:left w:type="dxa" w:w="80"/>
              <w:bottom w:type="dxa" w:w="60"/>
              <w:right w:type="dxa" w:w="80"/>
            </w:tcMar>
          </w:tcPr>
          <w:p>
            <w:r>
              <w:rPr>
                <w:b w:val="false"/>
                <w:bCs w:val="false"/>
                <w:sz w:val="17"/>
                <w:szCs w:val="17"/>
              </w:rPr>
              <w:t xml:space="preserve">NCIE-001/003/010.</w:t>
            </w:r>
          </w:p>
        </w:tc>
        <w:tc>
          <w:tcPr>
            <w:tcW w:type="dxa" w:w="2400"/>
            <w:tcMar>
              <w:top w:type="dxa" w:w="60"/>
              <w:left w:type="dxa" w:w="80"/>
              <w:bottom w:type="dxa" w:w="60"/>
              <w:right w:type="dxa" w:w="80"/>
            </w:tcMar>
          </w:tcPr>
          <w:p>
            <w:r>
              <w:rPr>
                <w:b w:val="false"/>
                <w:bCs w:val="false"/>
                <w:sz w:val="17"/>
                <w:szCs w:val="17"/>
              </w:rPr>
              <w:t xml:space="preserve">HR13-13-1 preserved verbatim, reclassified LEGAL/POLICY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14</w:t>
            </w:r>
          </w:p>
        </w:tc>
        <w:tc>
          <w:tcPr>
            <w:tcW w:type="dxa" w:w="3200"/>
            <w:tcMar>
              <w:top w:type="dxa" w:w="60"/>
              <w:left w:type="dxa" w:w="80"/>
              <w:bottom w:type="dxa" w:w="60"/>
              <w:right w:type="dxa" w:w="80"/>
            </w:tcMar>
          </w:tcPr>
          <w:p>
            <w:r>
              <w:rPr>
                <w:b w:val="false"/>
                <w:bCs w:val="false"/>
                <w:sz w:val="17"/>
                <w:szCs w:val="17"/>
              </w:rPr>
              <w:t xml:space="preserve">Mobile Money Intelligence module; HR focus: permitted purposes/risk indicators.</w:t>
            </w:r>
          </w:p>
        </w:tc>
        <w:tc>
          <w:tcPr>
            <w:tcW w:type="dxa" w:w="2600"/>
            <w:tcMar>
              <w:top w:type="dxa" w:w="60"/>
              <w:left w:type="dxa" w:w="80"/>
              <w:bottom w:type="dxa" w:w="60"/>
              <w:right w:type="dxa" w:w="80"/>
            </w:tcMar>
          </w:tcPr>
          <w:p>
            <w:r>
              <w:rPr>
                <w:b w:val="false"/>
                <w:bCs w:val="false"/>
                <w:sz w:val="17"/>
                <w:szCs w:val="17"/>
              </w:rPr>
              <w:t xml:space="preserve">§14.0-14.2, Table 19 (RACI), HR13-14-1.</w:t>
            </w:r>
          </w:p>
        </w:tc>
        <w:tc>
          <w:tcPr>
            <w:tcW w:type="dxa" w:w="2400"/>
            <w:tcMar>
              <w:top w:type="dxa" w:w="60"/>
              <w:left w:type="dxa" w:w="80"/>
              <w:bottom w:type="dxa" w:w="60"/>
              <w:right w:type="dxa" w:w="80"/>
            </w:tcMar>
          </w:tcPr>
          <w:p>
            <w:r>
              <w:rPr>
                <w:b w:val="false"/>
                <w:bCs w:val="false"/>
                <w:sz w:val="17"/>
                <w:szCs w:val="17"/>
              </w:rPr>
              <w:t xml:space="preserve">NCIE-001/003/009/010.</w:t>
            </w:r>
          </w:p>
        </w:tc>
        <w:tc>
          <w:tcPr>
            <w:tcW w:type="dxa" w:w="2400"/>
            <w:tcMar>
              <w:top w:type="dxa" w:w="60"/>
              <w:left w:type="dxa" w:w="80"/>
              <w:bottom w:type="dxa" w:w="60"/>
              <w:right w:type="dxa" w:w="80"/>
            </w:tcMar>
          </w:tcPr>
          <w:p>
            <w:r>
              <w:rPr>
                <w:b w:val="false"/>
                <w:bCs w:val="false"/>
                <w:sz w:val="17"/>
                <w:szCs w:val="17"/>
              </w:rPr>
              <w:t xml:space="preserve">HR13-14-1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15</w:t>
            </w:r>
          </w:p>
        </w:tc>
        <w:tc>
          <w:tcPr>
            <w:tcW w:type="dxa" w:w="3200"/>
            <w:tcMar>
              <w:top w:type="dxa" w:w="60"/>
              <w:left w:type="dxa" w:w="80"/>
              <w:bottom w:type="dxa" w:w="60"/>
              <w:right w:type="dxa" w:w="80"/>
            </w:tcMar>
          </w:tcPr>
          <w:p>
            <w:r>
              <w:rPr>
                <w:b w:val="false"/>
                <w:bCs w:val="false"/>
                <w:sz w:val="17"/>
                <w:szCs w:val="17"/>
              </w:rPr>
              <w:t xml:space="preserve">SIM/Subscriber Intelligence module; HR focus: identity-use purposes/access.</w:t>
            </w:r>
          </w:p>
        </w:tc>
        <w:tc>
          <w:tcPr>
            <w:tcW w:type="dxa" w:w="2600"/>
            <w:tcMar>
              <w:top w:type="dxa" w:w="60"/>
              <w:left w:type="dxa" w:w="80"/>
              <w:bottom w:type="dxa" w:w="60"/>
              <w:right w:type="dxa" w:w="80"/>
            </w:tcMar>
          </w:tcPr>
          <w:p>
            <w:r>
              <w:rPr>
                <w:b w:val="false"/>
                <w:bCs w:val="false"/>
                <w:sz w:val="17"/>
                <w:szCs w:val="17"/>
              </w:rPr>
              <w:t xml:space="preserve">§15.0-15.2, Table 20 (RACI), HR13-15-1.</w:t>
            </w:r>
          </w:p>
        </w:tc>
        <w:tc>
          <w:tcPr>
            <w:tcW w:type="dxa" w:w="2400"/>
            <w:tcMar>
              <w:top w:type="dxa" w:w="60"/>
              <w:left w:type="dxa" w:w="80"/>
              <w:bottom w:type="dxa" w:w="60"/>
              <w:right w:type="dxa" w:w="80"/>
            </w:tcMar>
          </w:tcPr>
          <w:p>
            <w:r>
              <w:rPr>
                <w:b w:val="false"/>
                <w:bCs w:val="false"/>
                <w:sz w:val="17"/>
                <w:szCs w:val="17"/>
              </w:rPr>
              <w:t xml:space="preserve">NCIE-001/003/009.</w:t>
            </w:r>
          </w:p>
        </w:tc>
        <w:tc>
          <w:tcPr>
            <w:tcW w:type="dxa" w:w="2400"/>
            <w:tcMar>
              <w:top w:type="dxa" w:w="60"/>
              <w:left w:type="dxa" w:w="80"/>
              <w:bottom w:type="dxa" w:w="60"/>
              <w:right w:type="dxa" w:w="80"/>
            </w:tcMar>
          </w:tcPr>
          <w:p>
            <w:r>
              <w:rPr>
                <w:b w:val="false"/>
                <w:bCs w:val="false"/>
                <w:sz w:val="17"/>
                <w:szCs w:val="17"/>
              </w:rPr>
              <w:t xml:space="preserve">HR13-15-1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16</w:t>
            </w:r>
          </w:p>
        </w:tc>
        <w:tc>
          <w:tcPr>
            <w:tcW w:type="dxa" w:w="3200"/>
            <w:tcMar>
              <w:top w:type="dxa" w:w="60"/>
              <w:left w:type="dxa" w:w="80"/>
              <w:bottom w:type="dxa" w:w="60"/>
              <w:right w:type="dxa" w:w="80"/>
            </w:tcMar>
          </w:tcPr>
          <w:p>
            <w:r>
              <w:rPr>
                <w:b w:val="false"/>
                <w:bCs w:val="false"/>
                <w:sz w:val="17"/>
                <w:szCs w:val="17"/>
              </w:rPr>
              <w:t xml:space="preserve">Anti-Fraud &amp; Abuse Intelligence module; HR focus: typologies/score governance.</w:t>
            </w:r>
          </w:p>
        </w:tc>
        <w:tc>
          <w:tcPr>
            <w:tcW w:type="dxa" w:w="2600"/>
            <w:tcMar>
              <w:top w:type="dxa" w:w="60"/>
              <w:left w:type="dxa" w:w="80"/>
              <w:bottom w:type="dxa" w:w="60"/>
              <w:right w:type="dxa" w:w="80"/>
            </w:tcMar>
          </w:tcPr>
          <w:p>
            <w:r>
              <w:rPr>
                <w:b w:val="false"/>
                <w:bCs w:val="false"/>
                <w:sz w:val="17"/>
                <w:szCs w:val="17"/>
              </w:rPr>
              <w:t xml:space="preserve">§16.0-16.2, Table 21 (RACI), HR13-16-1.</w:t>
            </w:r>
          </w:p>
        </w:tc>
        <w:tc>
          <w:tcPr>
            <w:tcW w:type="dxa" w:w="2400"/>
            <w:tcMar>
              <w:top w:type="dxa" w:w="60"/>
              <w:left w:type="dxa" w:w="80"/>
              <w:bottom w:type="dxa" w:w="60"/>
              <w:right w:type="dxa" w:w="80"/>
            </w:tcMar>
          </w:tcPr>
          <w:p>
            <w:r>
              <w:rPr>
                <w:b w:val="false"/>
                <w:bCs w:val="false"/>
                <w:sz w:val="17"/>
                <w:szCs w:val="17"/>
              </w:rPr>
              <w:t xml:space="preserve">NCIE-001/007/008/010.</w:t>
            </w:r>
          </w:p>
        </w:tc>
        <w:tc>
          <w:tcPr>
            <w:tcW w:type="dxa" w:w="2400"/>
            <w:tcMar>
              <w:top w:type="dxa" w:w="60"/>
              <w:left w:type="dxa" w:w="80"/>
              <w:bottom w:type="dxa" w:w="60"/>
              <w:right w:type="dxa" w:w="80"/>
            </w:tcMar>
          </w:tcPr>
          <w:p>
            <w:r>
              <w:rPr>
                <w:b w:val="false"/>
                <w:bCs w:val="false"/>
                <w:sz w:val="17"/>
                <w:szCs w:val="17"/>
              </w:rPr>
              <w:t xml:space="preserve">HR13-16-1 preserved verbatim, reclassified LEGAL/POLICY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17</w:t>
            </w:r>
          </w:p>
        </w:tc>
        <w:tc>
          <w:tcPr>
            <w:tcW w:type="dxa" w:w="3200"/>
            <w:tcMar>
              <w:top w:type="dxa" w:w="60"/>
              <w:left w:type="dxa" w:w="80"/>
              <w:bottom w:type="dxa" w:w="60"/>
              <w:right w:type="dxa" w:w="80"/>
            </w:tcMar>
          </w:tcPr>
          <w:p>
            <w:r>
              <w:rPr>
                <w:b w:val="false"/>
                <w:bCs w:val="false"/>
                <w:sz w:val="17"/>
                <w:szCs w:val="17"/>
              </w:rPr>
              <w:t xml:space="preserve">REWS/Early-Warning module; HR focus: indicator catalogue/escalation.</w:t>
            </w:r>
          </w:p>
        </w:tc>
        <w:tc>
          <w:tcPr>
            <w:tcW w:type="dxa" w:w="2600"/>
            <w:tcMar>
              <w:top w:type="dxa" w:w="60"/>
              <w:left w:type="dxa" w:w="80"/>
              <w:bottom w:type="dxa" w:w="60"/>
              <w:right w:type="dxa" w:w="80"/>
            </w:tcMar>
          </w:tcPr>
          <w:p>
            <w:r>
              <w:rPr>
                <w:b w:val="false"/>
                <w:bCs w:val="false"/>
                <w:sz w:val="17"/>
                <w:szCs w:val="17"/>
              </w:rPr>
              <w:t xml:space="preserve">§17.0-17.2, Table 22 (RACI), HR13-17-1.</w:t>
            </w:r>
          </w:p>
        </w:tc>
        <w:tc>
          <w:tcPr>
            <w:tcW w:type="dxa" w:w="2400"/>
            <w:tcMar>
              <w:top w:type="dxa" w:w="60"/>
              <w:left w:type="dxa" w:w="80"/>
              <w:bottom w:type="dxa" w:w="60"/>
              <w:right w:type="dxa" w:w="80"/>
            </w:tcMar>
          </w:tcPr>
          <w:p>
            <w:r>
              <w:rPr>
                <w:b w:val="false"/>
                <w:bCs w:val="false"/>
                <w:sz w:val="17"/>
                <w:szCs w:val="17"/>
              </w:rPr>
              <w:t xml:space="preserve">NCIE-001/005/010.</w:t>
            </w:r>
          </w:p>
        </w:tc>
        <w:tc>
          <w:tcPr>
            <w:tcW w:type="dxa" w:w="2400"/>
            <w:tcMar>
              <w:top w:type="dxa" w:w="60"/>
              <w:left w:type="dxa" w:w="80"/>
              <w:bottom w:type="dxa" w:w="60"/>
              <w:right w:type="dxa" w:w="80"/>
            </w:tcMar>
          </w:tcPr>
          <w:p>
            <w:r>
              <w:rPr>
                <w:b w:val="false"/>
                <w:bCs w:val="false"/>
                <w:sz w:val="17"/>
                <w:szCs w:val="17"/>
              </w:rPr>
              <w:t xml:space="preserve">HR13-17-1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18</w:t>
            </w:r>
          </w:p>
        </w:tc>
        <w:tc>
          <w:tcPr>
            <w:tcW w:type="dxa" w:w="3200"/>
            <w:tcMar>
              <w:top w:type="dxa" w:w="60"/>
              <w:left w:type="dxa" w:w="80"/>
              <w:bottom w:type="dxa" w:w="60"/>
              <w:right w:type="dxa" w:w="80"/>
            </w:tcMar>
          </w:tcPr>
          <w:p>
            <w:r>
              <w:rPr>
                <w:b w:val="false"/>
                <w:bCs w:val="false"/>
                <w:sz w:val="17"/>
                <w:szCs w:val="17"/>
              </w:rPr>
              <w:t xml:space="preserve">Operator/Entity Profile &amp; Comparative Intelligence; HR focus: peer-group/benchmark governance.</w:t>
            </w:r>
          </w:p>
        </w:tc>
        <w:tc>
          <w:tcPr>
            <w:tcW w:type="dxa" w:w="2600"/>
            <w:tcMar>
              <w:top w:type="dxa" w:w="60"/>
              <w:left w:type="dxa" w:w="80"/>
              <w:bottom w:type="dxa" w:w="60"/>
              <w:right w:type="dxa" w:w="80"/>
            </w:tcMar>
          </w:tcPr>
          <w:p>
            <w:r>
              <w:rPr>
                <w:b w:val="false"/>
                <w:bCs w:val="false"/>
                <w:sz w:val="17"/>
                <w:szCs w:val="17"/>
              </w:rPr>
              <w:t xml:space="preserve">§18.0-18.2, Table 23 (RACI), HR13-18-1.</w:t>
            </w:r>
          </w:p>
        </w:tc>
        <w:tc>
          <w:tcPr>
            <w:tcW w:type="dxa" w:w="2400"/>
            <w:tcMar>
              <w:top w:type="dxa" w:w="60"/>
              <w:left w:type="dxa" w:w="80"/>
              <w:bottom w:type="dxa" w:w="60"/>
              <w:right w:type="dxa" w:w="80"/>
            </w:tcMar>
          </w:tcPr>
          <w:p>
            <w:r>
              <w:rPr>
                <w:b w:val="false"/>
                <w:bCs w:val="false"/>
                <w:sz w:val="17"/>
                <w:szCs w:val="17"/>
              </w:rPr>
              <w:t xml:space="preserve">NCIE-003/012.</w:t>
            </w:r>
          </w:p>
        </w:tc>
        <w:tc>
          <w:tcPr>
            <w:tcW w:type="dxa" w:w="2400"/>
            <w:tcMar>
              <w:top w:type="dxa" w:w="60"/>
              <w:left w:type="dxa" w:w="80"/>
              <w:bottom w:type="dxa" w:w="60"/>
              <w:right w:type="dxa" w:w="80"/>
            </w:tcMar>
          </w:tcPr>
          <w:p>
            <w:r>
              <w:rPr>
                <w:b w:val="false"/>
                <w:bCs w:val="false"/>
                <w:sz w:val="17"/>
                <w:szCs w:val="17"/>
              </w:rPr>
              <w:t xml:space="preserve">HR13-18-1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19</w:t>
            </w:r>
          </w:p>
        </w:tc>
        <w:tc>
          <w:tcPr>
            <w:tcW w:type="dxa" w:w="3200"/>
            <w:tcMar>
              <w:top w:type="dxa" w:w="60"/>
              <w:left w:type="dxa" w:w="80"/>
              <w:bottom w:type="dxa" w:w="60"/>
              <w:right w:type="dxa" w:w="80"/>
            </w:tcMar>
          </w:tcPr>
          <w:p>
            <w:r>
              <w:rPr>
                <w:b w:val="false"/>
                <w:bCs w:val="false"/>
                <w:sz w:val="17"/>
                <w:szCs w:val="17"/>
              </w:rPr>
              <w:t xml:space="preserve">Geospatial &amp; Topology Intelligence; HR focus: sensitive-layer access/analyses.</w:t>
            </w:r>
          </w:p>
        </w:tc>
        <w:tc>
          <w:tcPr>
            <w:tcW w:type="dxa" w:w="2600"/>
            <w:tcMar>
              <w:top w:type="dxa" w:w="60"/>
              <w:left w:type="dxa" w:w="80"/>
              <w:bottom w:type="dxa" w:w="60"/>
              <w:right w:type="dxa" w:w="80"/>
            </w:tcMar>
          </w:tcPr>
          <w:p>
            <w:r>
              <w:rPr>
                <w:b w:val="false"/>
                <w:bCs w:val="false"/>
                <w:sz w:val="17"/>
                <w:szCs w:val="17"/>
              </w:rPr>
              <w:t xml:space="preserve">§19.0-19.2, Table 24 (RACI), HR13-19-1.</w:t>
            </w:r>
          </w:p>
        </w:tc>
        <w:tc>
          <w:tcPr>
            <w:tcW w:type="dxa" w:w="2400"/>
            <w:tcMar>
              <w:top w:type="dxa" w:w="60"/>
              <w:left w:type="dxa" w:w="80"/>
              <w:bottom w:type="dxa" w:w="60"/>
              <w:right w:type="dxa" w:w="80"/>
            </w:tcMar>
          </w:tcPr>
          <w:p>
            <w:r>
              <w:rPr>
                <w:b w:val="false"/>
                <w:bCs w:val="false"/>
                <w:sz w:val="17"/>
                <w:szCs w:val="17"/>
              </w:rPr>
              <w:t xml:space="preserve">NCIE-003/009/012.</w:t>
            </w:r>
          </w:p>
        </w:tc>
        <w:tc>
          <w:tcPr>
            <w:tcW w:type="dxa" w:w="2400"/>
            <w:tcMar>
              <w:top w:type="dxa" w:w="60"/>
              <w:left w:type="dxa" w:w="80"/>
              <w:bottom w:type="dxa" w:w="60"/>
              <w:right w:type="dxa" w:w="80"/>
            </w:tcMar>
          </w:tcPr>
          <w:p>
            <w:r>
              <w:rPr>
                <w:b w:val="false"/>
                <w:bCs w:val="false"/>
                <w:sz w:val="17"/>
                <w:szCs w:val="17"/>
              </w:rPr>
              <w:t xml:space="preserve">HR13-19-1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20</w:t>
            </w:r>
          </w:p>
        </w:tc>
        <w:tc>
          <w:tcPr>
            <w:tcW w:type="dxa" w:w="3200"/>
            <w:tcMar>
              <w:top w:type="dxa" w:w="60"/>
              <w:left w:type="dxa" w:w="80"/>
              <w:bottom w:type="dxa" w:w="60"/>
              <w:right w:type="dxa" w:w="80"/>
            </w:tcMar>
          </w:tcPr>
          <w:p>
            <w:r>
              <w:rPr>
                <w:b w:val="false"/>
                <w:bCs w:val="false"/>
                <w:sz w:val="17"/>
                <w:szCs w:val="17"/>
              </w:rPr>
              <w:t xml:space="preserve">Temporal, Trend &amp; Forecast Interpretation; HR focus: forecast use/restrictions.</w:t>
            </w:r>
          </w:p>
        </w:tc>
        <w:tc>
          <w:tcPr>
            <w:tcW w:type="dxa" w:w="2600"/>
            <w:tcMar>
              <w:top w:type="dxa" w:w="60"/>
              <w:left w:type="dxa" w:w="80"/>
              <w:bottom w:type="dxa" w:w="60"/>
              <w:right w:type="dxa" w:w="80"/>
            </w:tcMar>
          </w:tcPr>
          <w:p>
            <w:r>
              <w:rPr>
                <w:b w:val="false"/>
                <w:bCs w:val="false"/>
                <w:sz w:val="17"/>
                <w:szCs w:val="17"/>
              </w:rPr>
              <w:t xml:space="preserve">§20.0-20.2, Table 25 (RACI), HR13-20-1.</w:t>
            </w:r>
          </w:p>
        </w:tc>
        <w:tc>
          <w:tcPr>
            <w:tcW w:type="dxa" w:w="2400"/>
            <w:tcMar>
              <w:top w:type="dxa" w:w="60"/>
              <w:left w:type="dxa" w:w="80"/>
              <w:bottom w:type="dxa" w:w="60"/>
              <w:right w:type="dxa" w:w="80"/>
            </w:tcMar>
          </w:tcPr>
          <w:p>
            <w:r>
              <w:rPr>
                <w:b w:val="false"/>
                <w:bCs w:val="false"/>
                <w:sz w:val="17"/>
                <w:szCs w:val="17"/>
              </w:rPr>
              <w:t xml:space="preserve">NCIE-003/006/007.</w:t>
            </w:r>
          </w:p>
        </w:tc>
        <w:tc>
          <w:tcPr>
            <w:tcW w:type="dxa" w:w="2400"/>
            <w:tcMar>
              <w:top w:type="dxa" w:w="60"/>
              <w:left w:type="dxa" w:w="80"/>
              <w:bottom w:type="dxa" w:w="60"/>
              <w:right w:type="dxa" w:w="80"/>
            </w:tcMar>
          </w:tcPr>
          <w:p>
            <w:r>
              <w:rPr>
                <w:b w:val="false"/>
                <w:bCs w:val="false"/>
                <w:sz w:val="17"/>
                <w:szCs w:val="17"/>
              </w:rPr>
              <w:t xml:space="preserve">HR13-20-1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21</w:t>
            </w:r>
          </w:p>
        </w:tc>
        <w:tc>
          <w:tcPr>
            <w:tcW w:type="dxa" w:w="3200"/>
            <w:tcMar>
              <w:top w:type="dxa" w:w="60"/>
              <w:left w:type="dxa" w:w="80"/>
              <w:bottom w:type="dxa" w:w="60"/>
              <w:right w:type="dxa" w:w="80"/>
            </w:tcMar>
          </w:tcPr>
          <w:p>
            <w:r>
              <w:rPr>
                <w:b w:val="false"/>
                <w:bCs w:val="false"/>
                <w:sz w:val="17"/>
                <w:szCs w:val="17"/>
              </w:rPr>
              <w:t xml:space="preserve">Domain Evidence &amp; provenance integration; HR focus: domain Evidence packages.</w:t>
            </w:r>
          </w:p>
        </w:tc>
        <w:tc>
          <w:tcPr>
            <w:tcW w:type="dxa" w:w="2600"/>
            <w:tcMar>
              <w:top w:type="dxa" w:w="60"/>
              <w:left w:type="dxa" w:w="80"/>
              <w:bottom w:type="dxa" w:w="60"/>
              <w:right w:type="dxa" w:w="80"/>
            </w:tcMar>
          </w:tcPr>
          <w:p>
            <w:r>
              <w:rPr>
                <w:b w:val="false"/>
                <w:bCs w:val="false"/>
                <w:sz w:val="17"/>
                <w:szCs w:val="17"/>
              </w:rPr>
              <w:t xml:space="preserve">§21.0-21.3, Table 26 Domain Evidence Matrix (item 58), Table 27 (RACI), HR13-21-1.</w:t>
            </w:r>
          </w:p>
        </w:tc>
        <w:tc>
          <w:tcPr>
            <w:tcW w:type="dxa" w:w="2400"/>
            <w:tcMar>
              <w:top w:type="dxa" w:w="60"/>
              <w:left w:type="dxa" w:w="80"/>
              <w:bottom w:type="dxa" w:w="60"/>
              <w:right w:type="dxa" w:w="80"/>
            </w:tcMar>
          </w:tcPr>
          <w:p>
            <w:r>
              <w:rPr>
                <w:b w:val="false"/>
                <w:bCs w:val="false"/>
                <w:sz w:val="17"/>
                <w:szCs w:val="17"/>
              </w:rPr>
              <w:t xml:space="preserve">NCIE-010.</w:t>
            </w:r>
          </w:p>
        </w:tc>
        <w:tc>
          <w:tcPr>
            <w:tcW w:type="dxa" w:w="2400"/>
            <w:tcMar>
              <w:top w:type="dxa" w:w="60"/>
              <w:left w:type="dxa" w:w="80"/>
              <w:bottom w:type="dxa" w:w="60"/>
              <w:right w:type="dxa" w:w="80"/>
            </w:tcMar>
          </w:tcPr>
          <w:p>
            <w:r>
              <w:rPr>
                <w:b w:val="false"/>
                <w:bCs w:val="false"/>
                <w:sz w:val="17"/>
                <w:szCs w:val="17"/>
              </w:rPr>
              <w:t xml:space="preserve">HR13-21-1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22</w:t>
            </w:r>
          </w:p>
        </w:tc>
        <w:tc>
          <w:tcPr>
            <w:tcW w:type="dxa" w:w="3200"/>
            <w:tcMar>
              <w:top w:type="dxa" w:w="60"/>
              <w:left w:type="dxa" w:w="80"/>
              <w:bottom w:type="dxa" w:w="60"/>
              <w:right w:type="dxa" w:w="80"/>
            </w:tcMar>
          </w:tcPr>
          <w:p>
            <w:r>
              <w:rPr>
                <w:b w:val="false"/>
                <w:bCs w:val="false"/>
                <w:sz w:val="17"/>
                <w:szCs w:val="17"/>
              </w:rPr>
              <w:t xml:space="preserve">ARGUS domain assistance boundary; HR focus: domain assistance limits.</w:t>
            </w:r>
          </w:p>
        </w:tc>
        <w:tc>
          <w:tcPr>
            <w:tcW w:type="dxa" w:w="2600"/>
            <w:tcMar>
              <w:top w:type="dxa" w:w="60"/>
              <w:left w:type="dxa" w:w="80"/>
              <w:bottom w:type="dxa" w:w="60"/>
              <w:right w:type="dxa" w:w="80"/>
            </w:tcMar>
          </w:tcPr>
          <w:p>
            <w:r>
              <w:rPr>
                <w:b w:val="false"/>
                <w:bCs w:val="false"/>
                <w:sz w:val="17"/>
                <w:szCs w:val="17"/>
              </w:rPr>
              <w:t xml:space="preserve">§22.0-22.2, Table 28 (RACI), HR13-22-1.</w:t>
            </w:r>
          </w:p>
        </w:tc>
        <w:tc>
          <w:tcPr>
            <w:tcW w:type="dxa" w:w="2400"/>
            <w:tcMar>
              <w:top w:type="dxa" w:w="60"/>
              <w:left w:type="dxa" w:w="80"/>
              <w:bottom w:type="dxa" w:w="60"/>
              <w:right w:type="dxa" w:w="80"/>
            </w:tcMar>
          </w:tcPr>
          <w:p>
            <w:r>
              <w:rPr>
                <w:b w:val="false"/>
                <w:bCs w:val="false"/>
                <w:sz w:val="17"/>
                <w:szCs w:val="17"/>
              </w:rPr>
              <w:t xml:space="preserve">NCIE-005/012.</w:t>
            </w:r>
          </w:p>
        </w:tc>
        <w:tc>
          <w:tcPr>
            <w:tcW w:type="dxa" w:w="2400"/>
            <w:tcMar>
              <w:top w:type="dxa" w:w="60"/>
              <w:left w:type="dxa" w:w="80"/>
              <w:bottom w:type="dxa" w:w="60"/>
              <w:right w:type="dxa" w:w="80"/>
            </w:tcMar>
          </w:tcPr>
          <w:p>
            <w:r>
              <w:rPr>
                <w:b w:val="false"/>
                <w:bCs w:val="false"/>
                <w:sz w:val="17"/>
                <w:szCs w:val="17"/>
              </w:rPr>
              <w:t xml:space="preserve">HR13-22-1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23</w:t>
            </w:r>
          </w:p>
        </w:tc>
        <w:tc>
          <w:tcPr>
            <w:tcW w:type="dxa" w:w="3200"/>
            <w:tcMar>
              <w:top w:type="dxa" w:w="60"/>
              <w:left w:type="dxa" w:w="80"/>
              <w:bottom w:type="dxa" w:w="60"/>
              <w:right w:type="dxa" w:w="80"/>
            </w:tcMar>
          </w:tcPr>
          <w:p>
            <w:r>
              <w:rPr>
                <w:b w:val="false"/>
                <w:bCs w:val="false"/>
                <w:sz w:val="17"/>
                <w:szCs w:val="17"/>
              </w:rPr>
              <w:t xml:space="preserve">Agent &amp; AI use within domain modules; HR focus: approved domain AI/Agent uses.</w:t>
            </w:r>
          </w:p>
        </w:tc>
        <w:tc>
          <w:tcPr>
            <w:tcW w:type="dxa" w:w="2600"/>
            <w:tcMar>
              <w:top w:type="dxa" w:w="60"/>
              <w:left w:type="dxa" w:w="80"/>
              <w:bottom w:type="dxa" w:w="60"/>
              <w:right w:type="dxa" w:w="80"/>
            </w:tcMar>
          </w:tcPr>
          <w:p>
            <w:r>
              <w:rPr>
                <w:b w:val="false"/>
                <w:bCs w:val="false"/>
                <w:sz w:val="17"/>
                <w:szCs w:val="17"/>
              </w:rPr>
              <w:t xml:space="preserve">§23.0-23.2, Table 29 (RACI), HR13-23-1.</w:t>
            </w:r>
          </w:p>
        </w:tc>
        <w:tc>
          <w:tcPr>
            <w:tcW w:type="dxa" w:w="2400"/>
            <w:tcMar>
              <w:top w:type="dxa" w:w="60"/>
              <w:left w:type="dxa" w:w="80"/>
              <w:bottom w:type="dxa" w:w="60"/>
              <w:right w:type="dxa" w:w="80"/>
            </w:tcMar>
          </w:tcPr>
          <w:p>
            <w:r>
              <w:rPr>
                <w:b w:val="false"/>
                <w:bCs w:val="false"/>
                <w:sz w:val="17"/>
                <w:szCs w:val="17"/>
              </w:rPr>
              <w:t xml:space="preserve">NCIE-007/008/009.</w:t>
            </w:r>
          </w:p>
        </w:tc>
        <w:tc>
          <w:tcPr>
            <w:tcW w:type="dxa" w:w="2400"/>
            <w:tcMar>
              <w:top w:type="dxa" w:w="60"/>
              <w:left w:type="dxa" w:w="80"/>
              <w:bottom w:type="dxa" w:w="60"/>
              <w:right w:type="dxa" w:w="80"/>
            </w:tcMar>
          </w:tcPr>
          <w:p>
            <w:r>
              <w:rPr>
                <w:b w:val="false"/>
                <w:bCs w:val="false"/>
                <w:sz w:val="17"/>
                <w:szCs w:val="17"/>
              </w:rPr>
              <w:t xml:space="preserve">HR13-23-1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24</w:t>
            </w:r>
          </w:p>
        </w:tc>
        <w:tc>
          <w:tcPr>
            <w:tcW w:type="dxa" w:w="3200"/>
            <w:tcMar>
              <w:top w:type="dxa" w:w="60"/>
              <w:left w:type="dxa" w:w="80"/>
              <w:bottom w:type="dxa" w:w="60"/>
              <w:right w:type="dxa" w:w="80"/>
            </w:tcMar>
          </w:tcPr>
          <w:p>
            <w:r>
              <w:rPr>
                <w:b w:val="false"/>
                <w:bCs w:val="false"/>
                <w:sz w:val="17"/>
                <w:szCs w:val="17"/>
              </w:rPr>
              <w:t xml:space="preserve">Domain workflow &amp; Human Review integration; HR focus: review authorities/variants.</w:t>
            </w:r>
          </w:p>
        </w:tc>
        <w:tc>
          <w:tcPr>
            <w:tcW w:type="dxa" w:w="2600"/>
            <w:tcMar>
              <w:top w:type="dxa" w:w="60"/>
              <w:left w:type="dxa" w:w="80"/>
              <w:bottom w:type="dxa" w:w="60"/>
              <w:right w:type="dxa" w:w="80"/>
            </w:tcMar>
          </w:tcPr>
          <w:p>
            <w:r>
              <w:rPr>
                <w:b w:val="false"/>
                <w:bCs w:val="false"/>
                <w:sz w:val="17"/>
                <w:szCs w:val="17"/>
              </w:rPr>
              <w:t xml:space="preserve">§24.0-24.2, Table 30 (RACI), HR13-24-1.</w:t>
            </w:r>
          </w:p>
        </w:tc>
        <w:tc>
          <w:tcPr>
            <w:tcW w:type="dxa" w:w="2400"/>
            <w:tcMar>
              <w:top w:type="dxa" w:w="60"/>
              <w:left w:type="dxa" w:w="80"/>
              <w:bottom w:type="dxa" w:w="60"/>
              <w:right w:type="dxa" w:w="80"/>
            </w:tcMar>
          </w:tcPr>
          <w:p>
            <w:r>
              <w:rPr>
                <w:b w:val="false"/>
                <w:bCs w:val="false"/>
                <w:sz w:val="17"/>
                <w:szCs w:val="17"/>
              </w:rPr>
              <w:t xml:space="preserve">NCIE-008/012.</w:t>
            </w:r>
          </w:p>
        </w:tc>
        <w:tc>
          <w:tcPr>
            <w:tcW w:type="dxa" w:w="2400"/>
            <w:tcMar>
              <w:top w:type="dxa" w:w="60"/>
              <w:left w:type="dxa" w:w="80"/>
              <w:bottom w:type="dxa" w:w="60"/>
              <w:right w:type="dxa" w:w="80"/>
            </w:tcMar>
          </w:tcPr>
          <w:p>
            <w:r>
              <w:rPr>
                <w:b w:val="false"/>
                <w:bCs w:val="false"/>
                <w:sz w:val="17"/>
                <w:szCs w:val="17"/>
              </w:rPr>
              <w:t xml:space="preserve">HR13-24-1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25</w:t>
            </w:r>
          </w:p>
        </w:tc>
        <w:tc>
          <w:tcPr>
            <w:tcW w:type="dxa" w:w="3200"/>
            <w:tcMar>
              <w:top w:type="dxa" w:w="60"/>
              <w:left w:type="dxa" w:w="80"/>
              <w:bottom w:type="dxa" w:w="60"/>
              <w:right w:type="dxa" w:w="80"/>
            </w:tcMar>
          </w:tcPr>
          <w:p>
            <w:r>
              <w:rPr>
                <w:b w:val="false"/>
                <w:bCs w:val="false"/>
                <w:sz w:val="17"/>
                <w:szCs w:val="17"/>
              </w:rPr>
              <w:t xml:space="preserve">Domain API &amp; connector integration; HR focus: standard vs bespoke connectors.</w:t>
            </w:r>
          </w:p>
        </w:tc>
        <w:tc>
          <w:tcPr>
            <w:tcW w:type="dxa" w:w="2600"/>
            <w:tcMar>
              <w:top w:type="dxa" w:w="60"/>
              <w:left w:type="dxa" w:w="80"/>
              <w:bottom w:type="dxa" w:w="60"/>
              <w:right w:type="dxa" w:w="80"/>
            </w:tcMar>
          </w:tcPr>
          <w:p>
            <w:r>
              <w:rPr>
                <w:b w:val="false"/>
                <w:bCs w:val="false"/>
                <w:sz w:val="17"/>
                <w:szCs w:val="17"/>
              </w:rPr>
              <w:t xml:space="preserve">§25.0-25.2, Table 31 (RACI), HR13-25-1.</w:t>
            </w:r>
          </w:p>
        </w:tc>
        <w:tc>
          <w:tcPr>
            <w:tcW w:type="dxa" w:w="2400"/>
            <w:tcMar>
              <w:top w:type="dxa" w:w="60"/>
              <w:left w:type="dxa" w:w="80"/>
              <w:bottom w:type="dxa" w:w="60"/>
              <w:right w:type="dxa" w:w="80"/>
            </w:tcMar>
          </w:tcPr>
          <w:p>
            <w:r>
              <w:rPr>
                <w:b w:val="false"/>
                <w:bCs w:val="false"/>
                <w:sz w:val="17"/>
                <w:szCs w:val="17"/>
              </w:rPr>
              <w:t xml:space="preserve">NCIE-011.</w:t>
            </w:r>
          </w:p>
        </w:tc>
        <w:tc>
          <w:tcPr>
            <w:tcW w:type="dxa" w:w="2400"/>
            <w:tcMar>
              <w:top w:type="dxa" w:w="60"/>
              <w:left w:type="dxa" w:w="80"/>
              <w:bottom w:type="dxa" w:w="60"/>
              <w:right w:type="dxa" w:w="80"/>
            </w:tcMar>
          </w:tcPr>
          <w:p>
            <w:r>
              <w:rPr>
                <w:b w:val="false"/>
                <w:bCs w:val="false"/>
                <w:sz w:val="17"/>
                <w:szCs w:val="17"/>
              </w:rPr>
              <w:t xml:space="preserve">HR13-25-1 cross-referenced to NCIE-011 HR11-16-1 (directive item 60 dedup), reclassified ENGINEERING/INFRASTRUCTURE DISCOVERY REQUIRED,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26</w:t>
            </w:r>
          </w:p>
        </w:tc>
        <w:tc>
          <w:tcPr>
            <w:tcW w:type="dxa" w:w="3200"/>
            <w:tcMar>
              <w:top w:type="dxa" w:w="60"/>
              <w:left w:type="dxa" w:w="80"/>
              <w:bottom w:type="dxa" w:w="60"/>
              <w:right w:type="dxa" w:w="80"/>
            </w:tcMar>
          </w:tcPr>
          <w:p>
            <w:r>
              <w:rPr>
                <w:b w:val="false"/>
                <w:bCs w:val="false"/>
                <w:sz w:val="17"/>
                <w:szCs w:val="17"/>
              </w:rPr>
              <w:t xml:space="preserve">Domain UX &amp; workspace integration; HR focus: module workspace layouts.</w:t>
            </w:r>
          </w:p>
        </w:tc>
        <w:tc>
          <w:tcPr>
            <w:tcW w:type="dxa" w:w="2600"/>
            <w:tcMar>
              <w:top w:type="dxa" w:w="60"/>
              <w:left w:type="dxa" w:w="80"/>
              <w:bottom w:type="dxa" w:w="60"/>
              <w:right w:type="dxa" w:w="80"/>
            </w:tcMar>
          </w:tcPr>
          <w:p>
            <w:r>
              <w:rPr>
                <w:b w:val="false"/>
                <w:bCs w:val="false"/>
                <w:sz w:val="17"/>
                <w:szCs w:val="17"/>
              </w:rPr>
              <w:t xml:space="preserve">§26.0-26.2, Table 32 (RACI), HR13-26-1.</w:t>
            </w:r>
          </w:p>
        </w:tc>
        <w:tc>
          <w:tcPr>
            <w:tcW w:type="dxa" w:w="2400"/>
            <w:tcMar>
              <w:top w:type="dxa" w:w="60"/>
              <w:left w:type="dxa" w:w="80"/>
              <w:bottom w:type="dxa" w:w="60"/>
              <w:right w:type="dxa" w:w="80"/>
            </w:tcMar>
          </w:tcPr>
          <w:p>
            <w:r>
              <w:rPr>
                <w:b w:val="false"/>
                <w:bCs w:val="false"/>
                <w:sz w:val="17"/>
                <w:szCs w:val="17"/>
              </w:rPr>
              <w:t xml:space="preserve">NCIE-012.</w:t>
            </w:r>
          </w:p>
        </w:tc>
        <w:tc>
          <w:tcPr>
            <w:tcW w:type="dxa" w:w="2400"/>
            <w:tcMar>
              <w:top w:type="dxa" w:w="60"/>
              <w:left w:type="dxa" w:w="80"/>
              <w:bottom w:type="dxa" w:w="60"/>
              <w:right w:type="dxa" w:w="80"/>
            </w:tcMar>
          </w:tcPr>
          <w:p>
            <w:r>
              <w:rPr>
                <w:b w:val="false"/>
                <w:bCs w:val="false"/>
                <w:sz w:val="17"/>
                <w:szCs w:val="17"/>
              </w:rPr>
              <w:t xml:space="preserve">HR13-26-1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27</w:t>
            </w:r>
          </w:p>
        </w:tc>
        <w:tc>
          <w:tcPr>
            <w:tcW w:type="dxa" w:w="3200"/>
            <w:tcMar>
              <w:top w:type="dxa" w:w="60"/>
              <w:left w:type="dxa" w:w="80"/>
              <w:bottom w:type="dxa" w:w="60"/>
              <w:right w:type="dxa" w:w="80"/>
            </w:tcMar>
          </w:tcPr>
          <w:p>
            <w:r>
              <w:rPr>
                <w:b w:val="false"/>
                <w:bCs w:val="false"/>
                <w:sz w:val="17"/>
                <w:szCs w:val="17"/>
              </w:rPr>
              <w:t xml:space="preserve">Security, privacy &amp; purpose limitation; HR focus: high-risk access classes.</w:t>
            </w:r>
          </w:p>
        </w:tc>
        <w:tc>
          <w:tcPr>
            <w:tcW w:type="dxa" w:w="2600"/>
            <w:tcMar>
              <w:top w:type="dxa" w:w="60"/>
              <w:left w:type="dxa" w:w="80"/>
              <w:bottom w:type="dxa" w:w="60"/>
              <w:right w:type="dxa" w:w="80"/>
            </w:tcMar>
          </w:tcPr>
          <w:p>
            <w:r>
              <w:rPr>
                <w:b w:val="false"/>
                <w:bCs w:val="false"/>
                <w:sz w:val="17"/>
                <w:szCs w:val="17"/>
              </w:rPr>
              <w:t xml:space="preserve">§27.0-27.2, Table 33 (RACI), HR13-27-1.</w:t>
            </w:r>
          </w:p>
        </w:tc>
        <w:tc>
          <w:tcPr>
            <w:tcW w:type="dxa" w:w="2400"/>
            <w:tcMar>
              <w:top w:type="dxa" w:w="60"/>
              <w:left w:type="dxa" w:w="80"/>
              <w:bottom w:type="dxa" w:w="60"/>
              <w:right w:type="dxa" w:w="80"/>
            </w:tcMar>
          </w:tcPr>
          <w:p>
            <w:r>
              <w:rPr>
                <w:b w:val="false"/>
                <w:bCs w:val="false"/>
                <w:sz w:val="17"/>
                <w:szCs w:val="17"/>
              </w:rPr>
              <w:t xml:space="preserve">NCIE-009/008.</w:t>
            </w:r>
          </w:p>
        </w:tc>
        <w:tc>
          <w:tcPr>
            <w:tcW w:type="dxa" w:w="2400"/>
            <w:tcMar>
              <w:top w:type="dxa" w:w="60"/>
              <w:left w:type="dxa" w:w="80"/>
              <w:bottom w:type="dxa" w:w="60"/>
              <w:right w:type="dxa" w:w="80"/>
            </w:tcMar>
          </w:tcPr>
          <w:p>
            <w:r>
              <w:rPr>
                <w:b w:val="false"/>
                <w:bCs w:val="false"/>
                <w:sz w:val="17"/>
                <w:szCs w:val="17"/>
              </w:rPr>
              <w:t xml:space="preserve">HR13-27-1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28</w:t>
            </w:r>
          </w:p>
        </w:tc>
        <w:tc>
          <w:tcPr>
            <w:tcW w:type="dxa" w:w="3200"/>
            <w:tcMar>
              <w:top w:type="dxa" w:w="60"/>
              <w:left w:type="dxa" w:w="80"/>
              <w:bottom w:type="dxa" w:w="60"/>
              <w:right w:type="dxa" w:w="80"/>
            </w:tcMar>
          </w:tcPr>
          <w:p>
            <w:r>
              <w:rPr>
                <w:b w:val="false"/>
                <w:bCs w:val="false"/>
                <w:sz w:val="17"/>
                <w:szCs w:val="17"/>
              </w:rPr>
              <w:t xml:space="preserve">Domain audit, explainability &amp; defensibility; HR focus: minimum explainability.</w:t>
            </w:r>
          </w:p>
        </w:tc>
        <w:tc>
          <w:tcPr>
            <w:tcW w:type="dxa" w:w="2600"/>
            <w:tcMar>
              <w:top w:type="dxa" w:w="60"/>
              <w:left w:type="dxa" w:w="80"/>
              <w:bottom w:type="dxa" w:w="60"/>
              <w:right w:type="dxa" w:w="80"/>
            </w:tcMar>
          </w:tcPr>
          <w:p>
            <w:r>
              <w:rPr>
                <w:b w:val="false"/>
                <w:bCs w:val="false"/>
                <w:sz w:val="17"/>
                <w:szCs w:val="17"/>
              </w:rPr>
              <w:t xml:space="preserve">§28.0-28.2, Table 34 (RACI), HR13-28-1.</w:t>
            </w:r>
          </w:p>
        </w:tc>
        <w:tc>
          <w:tcPr>
            <w:tcW w:type="dxa" w:w="2400"/>
            <w:tcMar>
              <w:top w:type="dxa" w:w="60"/>
              <w:left w:type="dxa" w:w="80"/>
              <w:bottom w:type="dxa" w:w="60"/>
              <w:right w:type="dxa" w:w="80"/>
            </w:tcMar>
          </w:tcPr>
          <w:p>
            <w:r>
              <w:rPr>
                <w:b w:val="false"/>
                <w:bCs w:val="false"/>
                <w:sz w:val="17"/>
                <w:szCs w:val="17"/>
              </w:rPr>
              <w:t xml:space="preserve">NCIE-010/007/008.</w:t>
            </w:r>
          </w:p>
        </w:tc>
        <w:tc>
          <w:tcPr>
            <w:tcW w:type="dxa" w:w="2400"/>
            <w:tcMar>
              <w:top w:type="dxa" w:w="60"/>
              <w:left w:type="dxa" w:w="80"/>
              <w:bottom w:type="dxa" w:w="60"/>
              <w:right w:type="dxa" w:w="80"/>
            </w:tcMar>
          </w:tcPr>
          <w:p>
            <w:r>
              <w:rPr>
                <w:b w:val="false"/>
                <w:bCs w:val="false"/>
                <w:sz w:val="17"/>
                <w:szCs w:val="17"/>
              </w:rPr>
              <w:t xml:space="preserve">HR13-28-1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29</w:t>
            </w:r>
          </w:p>
        </w:tc>
        <w:tc>
          <w:tcPr>
            <w:tcW w:type="dxa" w:w="3200"/>
            <w:tcMar>
              <w:top w:type="dxa" w:w="60"/>
              <w:left w:type="dxa" w:w="80"/>
              <w:bottom w:type="dxa" w:w="60"/>
              <w:right w:type="dxa" w:w="80"/>
            </w:tcMar>
          </w:tcPr>
          <w:p>
            <w:r>
              <w:rPr>
                <w:b w:val="false"/>
                <w:bCs w:val="false"/>
                <w:sz w:val="17"/>
                <w:szCs w:val="17"/>
              </w:rPr>
              <w:t xml:space="preserve">Data quality, missingness &amp; reconciliation; HR focus: quality thresholds/suppression.</w:t>
            </w:r>
          </w:p>
        </w:tc>
        <w:tc>
          <w:tcPr>
            <w:tcW w:type="dxa" w:w="2600"/>
            <w:tcMar>
              <w:top w:type="dxa" w:w="60"/>
              <w:left w:type="dxa" w:w="80"/>
              <w:bottom w:type="dxa" w:w="60"/>
              <w:right w:type="dxa" w:w="80"/>
            </w:tcMar>
          </w:tcPr>
          <w:p>
            <w:r>
              <w:rPr>
                <w:b w:val="false"/>
                <w:bCs w:val="false"/>
                <w:sz w:val="17"/>
                <w:szCs w:val="17"/>
              </w:rPr>
              <w:t xml:space="preserve">§29.0-29.2, Table 35 (RACI), HR13-29-1.</w:t>
            </w:r>
          </w:p>
        </w:tc>
        <w:tc>
          <w:tcPr>
            <w:tcW w:type="dxa" w:w="2400"/>
            <w:tcMar>
              <w:top w:type="dxa" w:w="60"/>
              <w:left w:type="dxa" w:w="80"/>
              <w:bottom w:type="dxa" w:w="60"/>
              <w:right w:type="dxa" w:w="80"/>
            </w:tcMar>
          </w:tcPr>
          <w:p>
            <w:r>
              <w:rPr>
                <w:b w:val="false"/>
                <w:bCs w:val="false"/>
                <w:sz w:val="17"/>
                <w:szCs w:val="17"/>
              </w:rPr>
              <w:t xml:space="preserve">NCIE-003/010/011.</w:t>
            </w:r>
          </w:p>
        </w:tc>
        <w:tc>
          <w:tcPr>
            <w:tcW w:type="dxa" w:w="2400"/>
            <w:tcMar>
              <w:top w:type="dxa" w:w="60"/>
              <w:left w:type="dxa" w:w="80"/>
              <w:bottom w:type="dxa" w:w="60"/>
              <w:right w:type="dxa" w:w="80"/>
            </w:tcMar>
          </w:tcPr>
          <w:p>
            <w:r>
              <w:rPr>
                <w:b w:val="false"/>
                <w:bCs w:val="false"/>
                <w:sz w:val="17"/>
                <w:szCs w:val="17"/>
              </w:rPr>
              <w:t xml:space="preserve">HR13-29-1 preserved verbatim, reclassified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30</w:t>
            </w:r>
          </w:p>
        </w:tc>
        <w:tc>
          <w:tcPr>
            <w:tcW w:type="dxa" w:w="3200"/>
            <w:tcMar>
              <w:top w:type="dxa" w:w="60"/>
              <w:left w:type="dxa" w:w="80"/>
              <w:bottom w:type="dxa" w:w="60"/>
              <w:right w:type="dxa" w:w="80"/>
            </w:tcMar>
          </w:tcPr>
          <w:p>
            <w:r>
              <w:rPr>
                <w:b w:val="false"/>
                <w:bCs w:val="false"/>
                <w:sz w:val="17"/>
                <w:szCs w:val="17"/>
              </w:rPr>
              <w:t xml:space="preserve">Domain configuration &amp; change governance; HR focus: configuration approval authority.</w:t>
            </w:r>
          </w:p>
        </w:tc>
        <w:tc>
          <w:tcPr>
            <w:tcW w:type="dxa" w:w="2600"/>
            <w:tcMar>
              <w:top w:type="dxa" w:w="60"/>
              <w:left w:type="dxa" w:w="80"/>
              <w:bottom w:type="dxa" w:w="60"/>
              <w:right w:type="dxa" w:w="80"/>
            </w:tcMar>
          </w:tcPr>
          <w:p>
            <w:r>
              <w:rPr>
                <w:b w:val="false"/>
                <w:bCs w:val="false"/>
                <w:sz w:val="17"/>
                <w:szCs w:val="17"/>
              </w:rPr>
              <w:t xml:space="preserve">§30.0-30.2, Table 36 (RACI), HR13-30-1.</w:t>
            </w:r>
          </w:p>
        </w:tc>
        <w:tc>
          <w:tcPr>
            <w:tcW w:type="dxa" w:w="2400"/>
            <w:tcMar>
              <w:top w:type="dxa" w:w="60"/>
              <w:left w:type="dxa" w:w="80"/>
              <w:bottom w:type="dxa" w:w="60"/>
              <w:right w:type="dxa" w:w="80"/>
            </w:tcMar>
          </w:tcPr>
          <w:p>
            <w:r>
              <w:rPr>
                <w:b w:val="false"/>
                <w:bCs w:val="false"/>
                <w:sz w:val="17"/>
                <w:szCs w:val="17"/>
              </w:rPr>
              <w:t xml:space="preserve">NCIE-008/004/010.</w:t>
            </w:r>
          </w:p>
        </w:tc>
        <w:tc>
          <w:tcPr>
            <w:tcW w:type="dxa" w:w="2400"/>
            <w:tcMar>
              <w:top w:type="dxa" w:w="60"/>
              <w:left w:type="dxa" w:w="80"/>
              <w:bottom w:type="dxa" w:w="60"/>
              <w:right w:type="dxa" w:w="80"/>
            </w:tcMar>
          </w:tcPr>
          <w:p>
            <w:r>
              <w:rPr>
                <w:b w:val="false"/>
                <w:bCs w:val="false"/>
                <w:sz w:val="17"/>
                <w:szCs w:val="17"/>
              </w:rPr>
              <w:t xml:space="preserve">HR13-30-1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31</w:t>
            </w:r>
          </w:p>
        </w:tc>
        <w:tc>
          <w:tcPr>
            <w:tcW w:type="dxa" w:w="3200"/>
            <w:tcMar>
              <w:top w:type="dxa" w:w="60"/>
              <w:left w:type="dxa" w:w="80"/>
              <w:bottom w:type="dxa" w:w="60"/>
              <w:right w:type="dxa" w:w="80"/>
            </w:tcMar>
          </w:tcPr>
          <w:p>
            <w:r>
              <w:rPr>
                <w:b w:val="false"/>
                <w:bCs w:val="false"/>
                <w:sz w:val="17"/>
                <w:szCs w:val="17"/>
              </w:rPr>
              <w:t xml:space="preserve">Domain performance, scale &amp; degraded operation; HR focus: freshness/availability expectations.</w:t>
            </w:r>
          </w:p>
        </w:tc>
        <w:tc>
          <w:tcPr>
            <w:tcW w:type="dxa" w:w="2600"/>
            <w:tcMar>
              <w:top w:type="dxa" w:w="60"/>
              <w:left w:type="dxa" w:w="80"/>
              <w:bottom w:type="dxa" w:w="60"/>
              <w:right w:type="dxa" w:w="80"/>
            </w:tcMar>
          </w:tcPr>
          <w:p>
            <w:r>
              <w:rPr>
                <w:b w:val="false"/>
                <w:bCs w:val="false"/>
                <w:sz w:val="17"/>
                <w:szCs w:val="17"/>
              </w:rPr>
              <w:t xml:space="preserve">§31.0-31.2, Table 37 (RACI), HR13-31-1.</w:t>
            </w:r>
          </w:p>
        </w:tc>
        <w:tc>
          <w:tcPr>
            <w:tcW w:type="dxa" w:w="2400"/>
            <w:tcMar>
              <w:top w:type="dxa" w:w="60"/>
              <w:left w:type="dxa" w:w="80"/>
              <w:bottom w:type="dxa" w:w="60"/>
              <w:right w:type="dxa" w:w="80"/>
            </w:tcMar>
          </w:tcPr>
          <w:p>
            <w:r>
              <w:rPr>
                <w:b w:val="false"/>
                <w:bCs w:val="false"/>
                <w:sz w:val="17"/>
                <w:szCs w:val="17"/>
              </w:rPr>
              <w:t xml:space="preserve">NCIE-004/011/012.</w:t>
            </w:r>
          </w:p>
        </w:tc>
        <w:tc>
          <w:tcPr>
            <w:tcW w:type="dxa" w:w="2400"/>
            <w:tcMar>
              <w:top w:type="dxa" w:w="60"/>
              <w:left w:type="dxa" w:w="80"/>
              <w:bottom w:type="dxa" w:w="60"/>
              <w:right w:type="dxa" w:w="80"/>
            </w:tcMar>
          </w:tcPr>
          <w:p>
            <w:r>
              <w:rPr>
                <w:b w:val="false"/>
                <w:bCs w:val="false"/>
                <w:sz w:val="17"/>
                <w:szCs w:val="17"/>
              </w:rPr>
              <w:t xml:space="preserve">HR13-31-1 preserved verbatim, reclassified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32</w:t>
            </w:r>
          </w:p>
        </w:tc>
        <w:tc>
          <w:tcPr>
            <w:tcW w:type="dxa" w:w="3200"/>
            <w:tcMar>
              <w:top w:type="dxa" w:w="60"/>
              <w:left w:type="dxa" w:w="80"/>
              <w:bottom w:type="dxa" w:w="60"/>
              <w:right w:type="dxa" w:w="80"/>
            </w:tcMar>
          </w:tcPr>
          <w:p>
            <w:r>
              <w:rPr>
                <w:b w:val="false"/>
                <w:bCs w:val="false"/>
                <w:sz w:val="17"/>
                <w:szCs w:val="17"/>
              </w:rPr>
              <w:t xml:space="preserve">Functional module testing &amp; scenario validation; HR focus: scenarios/acceptance authority.</w:t>
            </w:r>
          </w:p>
        </w:tc>
        <w:tc>
          <w:tcPr>
            <w:tcW w:type="dxa" w:w="2600"/>
            <w:tcMar>
              <w:top w:type="dxa" w:w="60"/>
              <w:left w:type="dxa" w:w="80"/>
              <w:bottom w:type="dxa" w:w="60"/>
              <w:right w:type="dxa" w:w="80"/>
            </w:tcMar>
          </w:tcPr>
          <w:p>
            <w:r>
              <w:rPr>
                <w:b w:val="false"/>
                <w:bCs w:val="false"/>
                <w:sz w:val="17"/>
                <w:szCs w:val="17"/>
              </w:rPr>
              <w:t xml:space="preserve">§32.0-32.2, Table 38 (8 test classes, directive item 51), Table 39 (RACI), HR13-32-1.</w:t>
            </w:r>
          </w:p>
        </w:tc>
        <w:tc>
          <w:tcPr>
            <w:tcW w:type="dxa" w:w="2400"/>
            <w:tcMar>
              <w:top w:type="dxa" w:w="60"/>
              <w:left w:type="dxa" w:w="80"/>
              <w:bottom w:type="dxa" w:w="60"/>
              <w:right w:type="dxa" w:w="80"/>
            </w:tcMar>
          </w:tcPr>
          <w:p>
            <w:r>
              <w:rPr>
                <w:b w:val="false"/>
                <w:bCs w:val="false"/>
                <w:sz w:val="17"/>
                <w:szCs w:val="17"/>
              </w:rPr>
              <w:t xml:space="preserve">NCIE-016 (downstream); NCIE-008.</w:t>
            </w:r>
          </w:p>
        </w:tc>
        <w:tc>
          <w:tcPr>
            <w:tcW w:type="dxa" w:w="2400"/>
            <w:tcMar>
              <w:top w:type="dxa" w:w="60"/>
              <w:left w:type="dxa" w:w="80"/>
              <w:bottom w:type="dxa" w:w="60"/>
              <w:right w:type="dxa" w:w="80"/>
            </w:tcMar>
          </w:tcPr>
          <w:p>
            <w:r>
              <w:rPr>
                <w:b w:val="false"/>
                <w:bCs w:val="false"/>
                <w:sz w:val="17"/>
                <w:szCs w:val="17"/>
              </w:rPr>
              <w:t xml:space="preserve">HR13-32-1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33</w:t>
            </w:r>
          </w:p>
        </w:tc>
        <w:tc>
          <w:tcPr>
            <w:tcW w:type="dxa" w:w="3200"/>
            <w:tcMar>
              <w:top w:type="dxa" w:w="60"/>
              <w:left w:type="dxa" w:w="80"/>
              <w:bottom w:type="dxa" w:w="60"/>
              <w:right w:type="dxa" w:w="80"/>
            </w:tcMar>
          </w:tcPr>
          <w:p>
            <w:r>
              <w:rPr>
                <w:b w:val="false"/>
                <w:bCs w:val="false"/>
                <w:sz w:val="17"/>
                <w:szCs w:val="17"/>
              </w:rPr>
              <w:t xml:space="preserve">Human Review Register &amp; open domain decisions; HR focus: review/decide register items.</w:t>
            </w:r>
          </w:p>
        </w:tc>
        <w:tc>
          <w:tcPr>
            <w:tcW w:type="dxa" w:w="2600"/>
            <w:tcMar>
              <w:top w:type="dxa" w:w="60"/>
              <w:left w:type="dxa" w:w="80"/>
              <w:bottom w:type="dxa" w:w="60"/>
              <w:right w:type="dxa" w:w="80"/>
            </w:tcMar>
          </w:tcPr>
          <w:p>
            <w:r>
              <w:rPr>
                <w:b w:val="false"/>
                <w:bCs w:val="false"/>
                <w:sz w:val="17"/>
                <w:szCs w:val="17"/>
              </w:rPr>
              <w:t xml:space="preserve">§33.0-33.6, Table 40 (summary), Table 41 (complete register, 34 items), HR13-33-1.</w:t>
            </w:r>
          </w:p>
        </w:tc>
        <w:tc>
          <w:tcPr>
            <w:tcW w:type="dxa" w:w="2400"/>
            <w:tcMar>
              <w:top w:type="dxa" w:w="60"/>
              <w:left w:type="dxa" w:w="80"/>
              <w:bottom w:type="dxa" w:w="60"/>
              <w:right w:type="dxa" w:w="80"/>
            </w:tcMar>
          </w:tcPr>
          <w:p>
            <w:r>
              <w:rPr>
                <w:b w:val="false"/>
                <w:bCs w:val="false"/>
                <w:sz w:val="17"/>
                <w:szCs w:val="17"/>
              </w:rPr>
              <w:t xml:space="preserve">All chapters above (mechanically reconciled — directive item 59); approved Skeletal v0.1 Chapter 33 Salient Things to Note.</w:t>
            </w:r>
          </w:p>
        </w:tc>
        <w:tc>
          <w:tcPr>
            <w:tcW w:type="dxa" w:w="2400"/>
            <w:tcMar>
              <w:top w:type="dxa" w:w="60"/>
              <w:left w:type="dxa" w:w="80"/>
              <w:bottom w:type="dxa" w:w="60"/>
              <w:right w:type="dxa" w:w="80"/>
            </w:tcMar>
          </w:tcPr>
          <w:p>
            <w:r>
              <w:rPr>
                <w:b w:val="false"/>
                <w:bCs w:val="false"/>
                <w:sz w:val="17"/>
                <w:szCs w:val="17"/>
              </w:rPr>
              <w:t xml:space="preserve">HR13-33-1 (this chapter's own item) included in Table 41 and totals from the start — the NCIE-008 register-reconciliation defect and NCIE-009 salient-note omission were both designed around, not repeated. All 34 items consolidated.</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34</w:t>
            </w:r>
          </w:p>
        </w:tc>
        <w:tc>
          <w:tcPr>
            <w:tcW w:type="dxa" w:w="3200"/>
            <w:tcMar>
              <w:top w:type="dxa" w:w="60"/>
              <w:left w:type="dxa" w:w="80"/>
              <w:bottom w:type="dxa" w:w="60"/>
              <w:right w:type="dxa" w:w="80"/>
            </w:tcMar>
          </w:tcPr>
          <w:p>
            <w:r>
              <w:rPr>
                <w:b w:val="false"/>
                <w:bCs w:val="false"/>
                <w:sz w:val="17"/>
                <w:szCs w:val="17"/>
              </w:rPr>
              <w:t xml:space="preserve">Traceability, acceptance &amp; downstream handover; HR focus: skeleton approval/expansion authorization.</w:t>
            </w:r>
          </w:p>
        </w:tc>
        <w:tc>
          <w:tcPr>
            <w:tcW w:type="dxa" w:w="2600"/>
            <w:tcMar>
              <w:top w:type="dxa" w:w="60"/>
              <w:left w:type="dxa" w:w="80"/>
              <w:bottom w:type="dxa" w:w="60"/>
              <w:right w:type="dxa" w:w="80"/>
            </w:tcMar>
          </w:tcPr>
          <w:p>
            <w:r>
              <w:rPr>
                <w:b w:val="false"/>
                <w:bCs w:val="false"/>
                <w:sz w:val="17"/>
                <w:szCs w:val="17"/>
              </w:rPr>
              <w:t xml:space="preserve">§34.0-34.6, Table 42 (traceability matrix, 34 rows), Table 43 (downstream handover, 2 rows), HR13-34-1.</w:t>
            </w:r>
          </w:p>
        </w:tc>
        <w:tc>
          <w:tcPr>
            <w:tcW w:type="dxa" w:w="2400"/>
            <w:tcMar>
              <w:top w:type="dxa" w:w="60"/>
              <w:left w:type="dxa" w:w="80"/>
              <w:bottom w:type="dxa" w:w="60"/>
              <w:right w:type="dxa" w:w="80"/>
            </w:tcMar>
          </w:tcPr>
          <w:p>
            <w:r>
              <w:rPr>
                <w:b w:val="false"/>
                <w:bCs w:val="false"/>
                <w:sz w:val="17"/>
                <w:szCs w:val="17"/>
              </w:rPr>
              <w:t xml:space="preserve">Approved NCIE-001-012; approved NCIE-013 Skeletal v0.1.</w:t>
            </w:r>
          </w:p>
        </w:tc>
        <w:tc>
          <w:tcPr>
            <w:tcW w:type="dxa" w:w="2400"/>
            <w:tcMar>
              <w:top w:type="dxa" w:w="60"/>
              <w:left w:type="dxa" w:w="80"/>
              <w:bottom w:type="dxa" w:w="60"/>
              <w:right w:type="dxa" w:w="80"/>
            </w:tcMar>
          </w:tcPr>
          <w:p>
            <w:r>
              <w:rPr>
                <w:b w:val="false"/>
                <w:bCs w:val="false"/>
                <w:sz w:val="17"/>
                <w:szCs w:val="17"/>
              </w:rPr>
              <w:t xml:space="preserve">HR13-34-1 unchanged, RESOLVED BY UPSTREAM BASELINE (skeleton approval already satisfies it).</w:t>
            </w:r>
          </w:p>
        </w:tc>
        <w:tc>
          <w:tcPr>
            <w:tcW w:type="dxa" w:w="1300"/>
            <w:tcMar>
              <w:top w:type="dxa" w:w="60"/>
              <w:left w:type="dxa" w:w="80"/>
              <w:bottom w:type="dxa" w:w="60"/>
              <w:right w:type="dxa" w:w="80"/>
            </w:tcMar>
          </w:tcPr>
          <w:p>
            <w:r>
              <w:rPr>
                <w:b w:val="false"/>
                <w:bCs w:val="false"/>
                <w:sz w:val="17"/>
                <w:szCs w:val="17"/>
              </w:rPr>
              <w:t xml:space="preserve">EXPANDED</w:t>
            </w:r>
          </w:p>
        </w:tc>
      </w:tr>
    </w:tbl>
    <w:p>
      <w:pPr>
        <w:spacing w:before="200"/>
      </w:pPr>
    </w:p>
    <w:p>
      <w:pPr>
        <w:spacing w:after="80" w:before="200"/>
      </w:pPr>
      <w:r>
        <w:rPr>
          <w:b/>
          <w:bCs/>
          <w:sz w:val="20"/>
          <w:szCs w:val="20"/>
        </w:rPr>
        <w:t xml:space="preserve">Consolidated Matrices Added (Directive Items 54-58)</w:t>
      </w:r>
    </w:p>
    <w:p>
      <w:pPr>
        <w:spacing w:after="200"/>
      </w:pPr>
      <w:r>
        <w:rPr>
          <w:sz w:val="19"/>
          <w:szCs w:val="19"/>
        </w:rPr>
        <w:t xml:space="preserve">Table 3 (Chapter 2) — Domain-State Matrix, distinguishing observation through Decision with an authority/provenance caution for each. Table 5 (Chapter 3) — Module Catalogue Matrix, mapping all 10 domain intelligence chapters (Ch.11-20) to inputs/outputs/rules/Evidence/security. Table 9 (Chapter 6) — Rule/KPI Governance Matrix. Table 14 (Chapter 10) — Cross-Domain Correlation Matrix. Table 26 (Chapter 21) — Domain Evidence Matrix, including an explicit non-Evidence state for every analytical output class. Every other chapter carries its own chapter-appropriate RACI/control-ownership table.</w:t>
      </w:r>
    </w:p>
    <w:p>
      <w:pPr>
        <w:spacing w:after="80" w:before="200"/>
      </w:pPr>
      <w:r>
        <w:rPr>
          <w:b/>
          <w:bCs/>
          <w:sz w:val="20"/>
          <w:szCs w:val="20"/>
        </w:rPr>
        <w:t xml:space="preserve">Human Review Register Reconciliation</w:t>
      </w:r>
    </w:p>
    <w:p>
      <w:pPr>
        <w:spacing w:after="200"/>
      </w:pPr>
      <w:r>
        <w:rPr>
          <w:sz w:val="19"/>
          <w:szCs w:val="19"/>
        </w:rPr>
        <w:t xml:space="preserve">34 Human Review items total: 32 items from Chapters 1-32 (one per chapter, mechanically extracted from each chapter's own Human Review Focus bullet text), plus HR13-33-1 (Chapter 33's own item) and HR13-34-1 (Chapter 34's own item) — both defined once and included in the register from the start, per the lessons learned from the NCIE-008 v1.0 correction (register-reconciliation omission) and the NCIE-009 v1.0 correction (Salient Things to Note omission), rather than discovered afterward. Classification breakdown: 22 Institutional Confirmation Required, 5 Security/Sovereignty Confirmation Required, 3 Legal/Policy Confirmation Required, 3 Engineering/Infrastructure Discovery Required, 1 Resolved by Upstream Baseline. 30 Blocking / 4 Non-Blocking. One item, HR13-25-1, is cross-referenced (not duplicated) against the identical institutional question already open as NCIE-011 HR11-16-1, per directive item 60's upstream-deduplication rule. No item manufactures closure of a decision the approved skeleton, the approved NCIE-008–012 layers, or the approved upstream chain does not itself settle.</w:t>
      </w:r>
    </w:p>
    <w:p>
      <w:pPr>
        <w:spacing w:after="80" w:before="200"/>
      </w:pPr>
      <w:r>
        <w:rPr>
          <w:b/>
          <w:bCs/>
          <w:sz w:val="20"/>
          <w:szCs w:val="20"/>
        </w:rPr>
        <w:t xml:space="preserve">Skeleton Fidelity Statement</w:t>
      </w:r>
    </w:p>
    <w:p>
      <w:r>
        <w:rPr>
          <w:sz w:val="19"/>
          <w:szCs w:val="19"/>
        </w:rPr>
        <w:t xml:space="preserve">Every approved Chapter Purpose, Salient Things to Note, Principal Component, Upstream Dependency/Authority and Human Review Focus from the approved NCIE-013 Skeletal v0.1 is substantively represented in the corresponding v1.0 chapter above, including an explicit Salient Things to Note subsection in all 34 chapters — independently re-verified against the final assembled document by a programmatic scan (directive item 71), not assumed from the build script; none is omitted and none is conceptually inverted (Chapter 34 §34.3).</w:t>
      </w:r>
    </w:p>
    <w:sectPr>
      <w:pgSz w:w="16838" w:h="11906" w:orient="landscape"/>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2026-09-15T14:55:51.430Z</dcterms:created>
  <dcterms:modified xsi:type="dcterms:W3CDTF">2026-09-15T14:55:51.431Z</dcterms:modified>
</cp:coreProperties>
</file>

<file path=docProps/custom.xml><?xml version="1.0" encoding="utf-8"?>
<Properties xmlns="http://schemas.openxmlformats.org/officeDocument/2006/custom-properties" xmlns:vt="http://schemas.openxmlformats.org/officeDocument/2006/docPropsVTypes"/>
</file>