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NCIE-014</w:t>
        <w:br/>
        <w:t>Database &amp; Storage Engineering Specification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Source-confirmed title</w:t>
            </w:r>
          </w:p>
        </w:tc>
        <w:tc>
          <w:tcPr>
            <w:tcW w:type="dxa" w:w="5040"/>
          </w:tcPr>
          <w:p>
            <w:r>
              <w:t>NCIE-014 — Database &amp; Storage Engineering Specification</w:t>
            </w:r>
          </w:p>
        </w:tc>
      </w:tr>
      <w:tr>
        <w:tc>
          <w:tcPr>
            <w:tcW w:type="dxa" w:w="5040"/>
          </w:tcPr>
          <w:p>
            <w:r>
              <w:t>Source-confirmed suite purpose</w:t>
            </w:r>
          </w:p>
        </w:tc>
        <w:tc>
          <w:tcPr>
            <w:tcW w:type="dxa" w:w="5040"/>
          </w:tcPr>
          <w:p>
            <w:r>
              <w:t>Gives Codex implementation-level persistence design.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 through NCIE-013 v1.0</w:t>
            </w:r>
          </w:p>
        </w:tc>
      </w:tr>
      <w:tr>
        <w:tc>
          <w:tcPr>
            <w:tcW w:type="dxa" w:w="5040"/>
          </w:tcPr>
          <w:p>
            <w:r>
              <w:t>Primary boundary</w:t>
            </w:r>
          </w:p>
        </w:tc>
        <w:tc>
          <w:tcPr>
            <w:tcW w:type="dxa" w:w="5040"/>
          </w:tcPr>
          <w:p>
            <w:r>
              <w:t>NCIE-014 owns physical persistence engineering: database/storage realization, physical schemas, indexes, partitioning, retention implementation, backup/restore persistence, and storage-specific performance/reconciliation. It consumes NCIE-003 canonical semantics and must not redefine them.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 of this skeletal architecture.</w:t>
            </w:r>
          </w:p>
        </w:tc>
      </w:tr>
    </w:tbl>
    <w:p>
      <w:pPr>
        <w:pStyle w:val="Heading1"/>
      </w:pPr>
      <w:r>
        <w:t>Proposed Database &amp; Storage Invariants</w:t>
      </w:r>
    </w:p>
    <w:p>
      <w:pPr>
        <w:pStyle w:val="ListBullet"/>
      </w:pPr>
      <w:r>
        <w:t>PHYSICAL SCHEMA ≠ CANONICAL SEMANTIC MODEL.</w:t>
      </w:r>
    </w:p>
    <w:p>
      <w:pPr>
        <w:pStyle w:val="ListBullet"/>
      </w:pPr>
      <w:r>
        <w:t>DATABASE RECORD ≠ INSTITUTIONAL TRUTH.</w:t>
      </w:r>
    </w:p>
    <w:p>
      <w:pPr>
        <w:pStyle w:val="ListBullet"/>
      </w:pPr>
      <w:r>
        <w:t>REPLICA ≠ AUTHORITATIVE CURRENT STATE.</w:t>
      </w:r>
    </w:p>
    <w:p>
      <w:pPr>
        <w:pStyle w:val="ListBullet"/>
      </w:pPr>
      <w:r>
        <w:t>INDEX ≠ SYSTEM OF RECORD.</w:t>
      </w:r>
    </w:p>
    <w:p>
      <w:pPr>
        <w:pStyle w:val="ListBullet"/>
      </w:pPr>
      <w:r>
        <w:t>SEARCH INDEX ≠ CANONICAL STORE.</w:t>
      </w:r>
    </w:p>
    <w:p>
      <w:pPr>
        <w:pStyle w:val="ListBullet"/>
      </w:pPr>
      <w:r>
        <w:t>VECTOR INDEX ≠ MEMORY AUTHORITY.</w:t>
      </w:r>
    </w:p>
    <w:p>
      <w:pPr>
        <w:pStyle w:val="ListBullet"/>
      </w:pPr>
      <w:r>
        <w:t>GRAPH PROJECTION ≠ CANONICAL OWNERSHIP.</w:t>
      </w:r>
    </w:p>
    <w:p>
      <w:pPr>
        <w:pStyle w:val="ListBullet"/>
      </w:pPr>
      <w:r>
        <w:t>CACHE ≠ DURABLE RECORD.</w:t>
      </w:r>
    </w:p>
    <w:p>
      <w:pPr>
        <w:pStyle w:val="ListBullet"/>
      </w:pPr>
      <w:r>
        <w:t>BACKUP ≠ CURRENT AUTHORIZATION.</w:t>
      </w:r>
    </w:p>
    <w:p>
      <w:pPr>
        <w:pStyle w:val="ListBullet"/>
      </w:pPr>
      <w:r>
        <w:t>RESTORE ≠ REAUTHORIZATION.</w:t>
      </w:r>
    </w:p>
    <w:p>
      <w:pPr>
        <w:pStyle w:val="ListBullet"/>
      </w:pPr>
      <w:r>
        <w:t>RETENTION ≠ LEGAL HOLD RELEASE.</w:t>
      </w:r>
    </w:p>
    <w:p>
      <w:pPr>
        <w:pStyle w:val="ListBullet"/>
      </w:pPr>
      <w:r>
        <w:t>DELETION ≠ HISTORICAL ERASURE WHERE GOVERNED HISTORY MUST REMAIN.</w:t>
      </w:r>
    </w:p>
    <w:p>
      <w:pPr>
        <w:pStyle w:val="ListBullet"/>
      </w:pPr>
      <w:r>
        <w:t>ENCRYPTION ≠ AUTHORIZATION.</w:t>
      </w:r>
    </w:p>
    <w:p>
      <w:pPr>
        <w:pStyle w:val="ListBullet"/>
      </w:pPr>
      <w:r>
        <w:t>DATABASE ADMINISTRATION ≠ CONTENT AUTHORITY.</w:t>
      </w:r>
    </w:p>
    <w:p>
      <w:pPr>
        <w:pStyle w:val="ListBullet"/>
      </w:pPr>
      <w:r>
        <w:t>PARTITIONING ≠ TENANT / SECURITY BOUNDARY BY ITSELF.</w:t>
      </w:r>
    </w:p>
    <w:p>
      <w:pPr>
        <w:pStyle w:val="ListBullet"/>
      </w:pPr>
      <w:r>
        <w:t>DATA LOCALITY ≠ RESIDENCY COMPLIANCE BY ITSELF.</w:t>
      </w:r>
    </w:p>
    <w:p>
      <w:pPr>
        <w:pStyle w:val="ListBullet"/>
      </w:pPr>
      <w:r>
        <w:t>SCHEMA MIGRATION ≠ SEMANTIC REDEFINITION.</w:t>
      </w:r>
    </w:p>
    <w:p>
      <w:pPr>
        <w:pStyle w:val="ListBullet"/>
      </w:pPr>
      <w:r>
        <w:t>MIGRATION SUCCESS ≠ RECONCILIATION COMPLETE.</w:t>
      </w:r>
    </w:p>
    <w:p>
      <w:pPr>
        <w:pStyle w:val="ListBullet"/>
      </w:pPr>
      <w:r>
        <w:t>PERFORMANCE OPTIMIZATION ≠ PERMISSION TO DROP PROVENANCE.</w:t>
      </w:r>
    </w:p>
    <w:p>
      <w:pPr>
        <w:pStyle w:val="ListBullet"/>
      </w:pPr>
      <w:r>
        <w:t>ARCHIVAL ≠ INVALIDATION.</w:t>
      </w:r>
    </w:p>
    <w:p>
      <w:pPr>
        <w:pStyle w:val="ListBullet"/>
      </w:pPr>
      <w:r>
        <w:t>IMMUTABILITY MECHANISM ≠ TRUTH OF CONTENT.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Persistence Boundary</w:t>
      </w:r>
    </w:p>
    <w:p>
      <w:r>
        <w:t>Chapter Purpose. Establish NCIE-014 ownership of physical database/storage engineering.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NCIE-014 implements persistence for approved semantics; it cannot redefine canonical entities, governance, IAM, Evidence, APIs or domain rules.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 chain</w:t>
      </w:r>
    </w:p>
    <w:p>
      <w:pPr>
        <w:pStyle w:val="ListBullet"/>
      </w:pPr>
      <w:r>
        <w:t>exclusions</w:t>
      </w:r>
    </w:p>
    <w:p>
      <w:pPr>
        <w:pStyle w:val="ListBullet"/>
      </w:pPr>
      <w:r>
        <w:t>physical/logical boundary</w:t>
      </w:r>
    </w:p>
    <w:p>
      <w:pPr>
        <w:pStyle w:val="ListBullet"/>
      </w:pPr>
      <w:r>
        <w:t>handovers.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Production-Ready register; NCIE-003 Ch.32; NCIE-004; NCIE-006/009/010/011.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NCIE-014 acceptance/sign-off authority.</w:t>
      </w:r>
    </w:p>
    <w:p>
      <w:pPr>
        <w:pStyle w:val="Heading2"/>
      </w:pPr>
      <w:r>
        <w:t>Chapter 2 — Persistence Engineering Doctrine</w:t>
      </w:r>
    </w:p>
    <w:p>
      <w:r>
        <w:t>Chapter Purpose. Define common persistence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Physical optimization must preserve semantics, provenance, authorization boundaries and historical reconstructability.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Durability</w:t>
      </w:r>
    </w:p>
    <w:p>
      <w:pPr>
        <w:pStyle w:val="ListBullet"/>
      </w:pPr>
      <w:r>
        <w:t>consistency</w:t>
      </w:r>
    </w:p>
    <w:p>
      <w:pPr>
        <w:pStyle w:val="ListBullet"/>
      </w:pPr>
      <w:r>
        <w:t>isolation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recoverability</w:t>
      </w:r>
    </w:p>
    <w:p>
      <w:pPr>
        <w:pStyle w:val="ListBullet"/>
      </w:pPr>
      <w:r>
        <w:t>portability</w:t>
      </w:r>
    </w:p>
    <w:p>
      <w:pPr>
        <w:pStyle w:val="ListBullet"/>
      </w:pPr>
      <w:r>
        <w:t>explicit authority.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layered architecture; NCIE-003; NCIE-009/010.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persistence principles and unresolved trade-offs.</w:t>
      </w:r>
    </w:p>
    <w:p>
      <w:pPr>
        <w:pStyle w:val="Heading2"/>
      </w:pPr>
      <w:r>
        <w:t>Chapter 3 — Canonical-to-Physical Mapping Governance</w:t>
      </w:r>
    </w:p>
    <w:p>
      <w:r>
        <w:t>Chapter Purpose. Define controlled mapping from NCIE-003 canonical models to physical structures.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PHYSICAL SCHEMA ≠ CANONICAL SEMANTIC MODEL; denormalization/projection cannot silently change meaning.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Mapping register</w:t>
      </w:r>
    </w:p>
    <w:p>
      <w:pPr>
        <w:pStyle w:val="ListBullet"/>
      </w:pPr>
      <w:r>
        <w:t>entity/field mapping</w:t>
      </w:r>
    </w:p>
    <w:p>
      <w:pPr>
        <w:pStyle w:val="ListBullet"/>
      </w:pPr>
      <w:r>
        <w:t>physical names</w:t>
      </w:r>
    </w:p>
    <w:p>
      <w:pPr>
        <w:pStyle w:val="ListBullet"/>
      </w:pPr>
      <w:r>
        <w:t>type mapping</w:t>
      </w:r>
    </w:p>
    <w:p>
      <w:pPr>
        <w:pStyle w:val="ListBullet"/>
      </w:pPr>
      <w:r>
        <w:t>constraints</w:t>
      </w:r>
    </w:p>
    <w:p>
      <w:pPr>
        <w:pStyle w:val="ListBullet"/>
      </w:pPr>
      <w:r>
        <w:t>derived fields</w:t>
      </w:r>
    </w:p>
    <w:p>
      <w:pPr>
        <w:pStyle w:val="ListBullet"/>
      </w:pPr>
      <w:r>
        <w:t>version linkage.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canonical dictionary/ERDs.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physical naming/mapping conventions.</w:t>
      </w:r>
    </w:p>
    <w:p>
      <w:pPr>
        <w:pStyle w:val="Heading2"/>
      </w:pPr>
      <w:r>
        <w:t>Chapter 4 — Relational / Transactional Persistence Design</w:t>
      </w:r>
    </w:p>
    <w:p>
      <w:r>
        <w:t>Chapter Purpose. Define physical persistence for transactional/canonical workloads.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Database rows are implementations of canonical objects, not independent semantic authorities.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Tables</w:t>
      </w:r>
    </w:p>
    <w:p>
      <w:pPr>
        <w:pStyle w:val="ListBullet"/>
      </w:pPr>
      <w:r>
        <w:t>keys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normalization/denormalization</w:t>
      </w:r>
    </w:p>
    <w:p>
      <w:pPr>
        <w:pStyle w:val="ListBullet"/>
      </w:pPr>
      <w:r>
        <w:t>concurrency</w:t>
      </w:r>
    </w:p>
    <w:p>
      <w:pPr>
        <w:pStyle w:val="ListBullet"/>
      </w:pPr>
      <w:r>
        <w:t>temporal fields.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entities; NCIE-004 technology families.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selected relational technology and transaction requirements.</w:t>
      </w:r>
    </w:p>
    <w:p>
      <w:pPr>
        <w:pStyle w:val="Heading2"/>
      </w:pPr>
      <w:r>
        <w:t>Chapter 5 — Analytical / Columnar Persistence Design</w:t>
      </w:r>
    </w:p>
    <w:p>
      <w:r>
        <w:t>Chapter Purpose. Define analytical-store physical design.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Analytical projections/aggregates must retain lineage and cannot become canonical truth.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Facts/dimensions</w:t>
      </w:r>
    </w:p>
    <w:p>
      <w:pPr>
        <w:pStyle w:val="ListBullet"/>
      </w:pPr>
      <w:r>
        <w:t>columnar layout</w:t>
      </w:r>
    </w:p>
    <w:p>
      <w:pPr>
        <w:pStyle w:val="ListBullet"/>
      </w:pPr>
      <w:r>
        <w:t>aggregates</w:t>
      </w:r>
    </w:p>
    <w:p>
      <w:pPr>
        <w:pStyle w:val="ListBullet"/>
      </w:pPr>
      <w:r>
        <w:t>materialization</w:t>
      </w:r>
    </w:p>
    <w:p>
      <w:pPr>
        <w:pStyle w:val="ListBullet"/>
      </w:pPr>
      <w:r>
        <w:t>refresh</w:t>
      </w:r>
    </w:p>
    <w:p>
      <w:pPr>
        <w:pStyle w:val="ListBullet"/>
      </w:pPr>
      <w:r>
        <w:t>lineage</w:t>
      </w:r>
    </w:p>
    <w:p>
      <w:pPr>
        <w:pStyle w:val="ListBullet"/>
      </w:pPr>
      <w:r>
        <w:t>historical partitions.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analytical layer; NCIE-003 analytics; NCIE-013 modules.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analytical-store technology and workload priorities.</w:t>
      </w:r>
    </w:p>
    <w:p>
      <w:pPr>
        <w:pStyle w:val="Heading2"/>
      </w:pPr>
      <w:r>
        <w:t>Chapter 6 — Object / Blob Storage Design</w:t>
      </w:r>
    </w:p>
    <w:p>
      <w:r>
        <w:t>Chapter Purpose. Define storage of files, documents, large artifacts and immutable payloads.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Object availability does not establish Evidence status; metadata, classification and integrity remain governed.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Buckets/containers concept</w:t>
      </w:r>
    </w:p>
    <w:p>
      <w:pPr>
        <w:pStyle w:val="ListBullet"/>
      </w:pPr>
      <w:r>
        <w:t>object identity</w:t>
      </w:r>
    </w:p>
    <w:p>
      <w:pPr>
        <w:pStyle w:val="ListBullet"/>
      </w:pPr>
      <w:r>
        <w:t>metadata</w:t>
      </w:r>
    </w:p>
    <w:p>
      <w:pPr>
        <w:pStyle w:val="ListBullet"/>
      </w:pPr>
      <w:r>
        <w:t>versioning</w:t>
      </w:r>
    </w:p>
    <w:p>
      <w:pPr>
        <w:pStyle w:val="ListBullet"/>
      </w:pPr>
      <w:r>
        <w:t>integrity</w:t>
      </w:r>
    </w:p>
    <w:p>
      <w:pPr>
        <w:pStyle w:val="ListBullet"/>
      </w:pPr>
      <w:r>
        <w:t>lifecycle</w:t>
      </w:r>
    </w:p>
    <w:p>
      <w:pPr>
        <w:pStyle w:val="ListBullet"/>
      </w:pPr>
      <w:r>
        <w:t>access</w:t>
      </w:r>
    </w:p>
    <w:p>
      <w:pPr>
        <w:pStyle w:val="ListBullet"/>
      </w:pPr>
      <w:r>
        <w:t>large artifacts.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Evidence/source objects; NCIE-010; NCIE-009.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object-store technology and sensitive-object classes.</w:t>
      </w:r>
    </w:p>
    <w:p>
      <w:pPr>
        <w:pStyle w:val="Heading2"/>
      </w:pPr>
      <w:r>
        <w:t>Chapter 7 — Search Index Engineering</w:t>
      </w:r>
    </w:p>
    <w:p>
      <w:r>
        <w:t>Chapter Purpose. Define physical search indexing.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SEARCH INDEX ≠ CANONICAL STORE; stale/index-only data must not be represented as authoritative current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Index documents</w:t>
      </w:r>
    </w:p>
    <w:p>
      <w:pPr>
        <w:pStyle w:val="ListBullet"/>
      </w:pPr>
      <w:r>
        <w:t>source reference</w:t>
      </w:r>
    </w:p>
    <w:p>
      <w:pPr>
        <w:pStyle w:val="ListBullet"/>
      </w:pPr>
      <w:r>
        <w:t>freshness</w:t>
      </w:r>
    </w:p>
    <w:p>
      <w:pPr>
        <w:pStyle w:val="ListBullet"/>
      </w:pPr>
      <w:r>
        <w:t>analyzers concept</w:t>
      </w:r>
    </w:p>
    <w:p>
      <w:pPr>
        <w:pStyle w:val="ListBullet"/>
      </w:pPr>
      <w:r>
        <w:t>updates</w:t>
      </w:r>
    </w:p>
    <w:p>
      <w:pPr>
        <w:pStyle w:val="ListBullet"/>
      </w:pPr>
      <w:r>
        <w:t>deletion/tombstone</w:t>
      </w:r>
    </w:p>
    <w:p>
      <w:pPr>
        <w:pStyle w:val="ListBullet"/>
      </w:pPr>
      <w:r>
        <w:t>authorization filtering interface.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search; NCIE-010 discovery; NCIE-009 authorization.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search technology and freshness expectations.</w:t>
      </w:r>
    </w:p>
    <w:p>
      <w:pPr>
        <w:pStyle w:val="Heading2"/>
      </w:pPr>
      <w:r>
        <w:t>Chapter 8 — Vector Index / Embedding Persistence</w:t>
      </w:r>
    </w:p>
    <w:p>
      <w:r>
        <w:t>Chapter Purpose. Define vector/embedding persistence for semantic retrieval.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VECTOR INDEX ≠ MEMORY AUTHORITY; similarity does not grant disclosure authority or Evidence status.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Embedding reference</w:t>
      </w:r>
    </w:p>
    <w:p>
      <w:pPr>
        <w:pStyle w:val="ListBullet"/>
      </w:pPr>
      <w:r>
        <w:t>source/version</w:t>
      </w:r>
    </w:p>
    <w:p>
      <w:pPr>
        <w:pStyle w:val="ListBullet"/>
      </w:pPr>
      <w:r>
        <w:t>vector metadata</w:t>
      </w:r>
    </w:p>
    <w:p>
      <w:pPr>
        <w:pStyle w:val="ListBullet"/>
      </w:pPr>
      <w:r>
        <w:t>namespace</w:t>
      </w:r>
    </w:p>
    <w:p>
      <w:pPr>
        <w:pStyle w:val="ListBullet"/>
      </w:pPr>
      <w:r>
        <w:t>freshness</w:t>
      </w:r>
    </w:p>
    <w:p>
      <w:pPr>
        <w:pStyle w:val="ListBullet"/>
      </w:pPr>
      <w:r>
        <w:t>deletion</w:t>
      </w:r>
    </w:p>
    <w:p>
      <w:pPr>
        <w:pStyle w:val="ListBullet"/>
      </w:pPr>
      <w:r>
        <w:t>re-embedding</w:t>
      </w:r>
    </w:p>
    <w:p>
      <w:pPr>
        <w:pStyle w:val="ListBullet"/>
      </w:pPr>
      <w:r>
        <w:t>authorization filters.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vector/search; NCIE-009;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vector technology, embedding lifecycle and sensitive-data policy.</w:t>
      </w:r>
    </w:p>
    <w:p>
      <w:pPr>
        <w:pStyle w:val="Heading2"/>
      </w:pPr>
      <w:r>
        <w:t>Chapter 9 — Graph Persistence &amp; Relationship Projections</w:t>
      </w:r>
    </w:p>
    <w:p>
      <w:r>
        <w:t>Chapter Purpose. Define physical graph/relationship storage.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GRAPH PROJECTION ≠ CANONICAL OWNERSHIP and LINEAGE/RELATIONSHIP ≠ CAUSALITY.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Nodes/edges</w:t>
      </w:r>
    </w:p>
    <w:p>
      <w:pPr>
        <w:pStyle w:val="ListBullet"/>
      </w:pPr>
      <w:r>
        <w:t>canonical references</w:t>
      </w:r>
    </w:p>
    <w:p>
      <w:pPr>
        <w:pStyle w:val="ListBullet"/>
      </w:pPr>
      <w:r>
        <w:t>projections</w:t>
      </w:r>
    </w:p>
    <w:p>
      <w:pPr>
        <w:pStyle w:val="ListBullet"/>
      </w:pPr>
      <w:r>
        <w:t>temporal relationships</w:t>
      </w:r>
    </w:p>
    <w:p>
      <w:pPr>
        <w:pStyle w:val="ListBullet"/>
      </w:pPr>
      <w:r>
        <w:t>provenance</w:t>
      </w:r>
    </w:p>
    <w:p>
      <w:pPr>
        <w:pStyle w:val="ListBullet"/>
      </w:pPr>
      <w:r>
        <w:t>rebuild/reconciliation.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graph/relationships; NCIE-010 provenance graph.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graph technology and projection ownership.</w:t>
      </w:r>
    </w:p>
    <w:p>
      <w:pPr>
        <w:pStyle w:val="Heading2"/>
      </w:pPr>
      <w:r>
        <w:t>Chapter 10 — Time-Series &amp; Metrics Persistence</w:t>
      </w:r>
    </w:p>
    <w:p>
      <w:r>
        <w:t>Chapter Purpose. Define storage for KPI/telemetry/time-series workloads.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Operational telemetry and domain KPI history remain semantically distinct; retention/aggregation must preserve required interpretation.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Series identity</w:t>
      </w:r>
    </w:p>
    <w:p>
      <w:pPr>
        <w:pStyle w:val="ListBullet"/>
      </w:pPr>
      <w:r>
        <w:t>timestamp</w:t>
      </w:r>
    </w:p>
    <w:p>
      <w:pPr>
        <w:pStyle w:val="ListBullet"/>
      </w:pPr>
      <w:r>
        <w:t>labels/dimensions</w:t>
      </w:r>
    </w:p>
    <w:p>
      <w:pPr>
        <w:pStyle w:val="ListBullet"/>
      </w:pPr>
      <w:r>
        <w:t>rollups</w:t>
      </w:r>
    </w:p>
    <w:p>
      <w:pPr>
        <w:pStyle w:val="ListBullet"/>
      </w:pPr>
      <w:r>
        <w:t>retention tiers</w:t>
      </w:r>
    </w:p>
    <w:p>
      <w:pPr>
        <w:pStyle w:val="ListBullet"/>
      </w:pPr>
      <w:r>
        <w:t>late data</w:t>
      </w:r>
    </w:p>
    <w:p>
      <w:pPr>
        <w:pStyle w:val="ListBullet"/>
      </w:pPr>
      <w:r>
        <w:t>correction</w:t>
      </w:r>
    </w:p>
    <w:p>
      <w:pPr>
        <w:pStyle w:val="ListBullet"/>
      </w:pPr>
      <w:r>
        <w:t>provenance.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temporal/KPI; NCIE-004 observability; NCIE-013 KPI modules.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time-series technology and retention/rollup requirements.</w:t>
      </w:r>
    </w:p>
    <w:p>
      <w:pPr>
        <w:pStyle w:val="Heading2"/>
      </w:pPr>
      <w:r>
        <w:t>Chapter 11 — Agent, Model, Tool &amp; VPF Registry Persistence</w:t>
      </w:r>
    </w:p>
    <w:p>
      <w:r>
        <w:t>Chapter Purpose. Define physical persistence for orchestration registries and Validation Artifacts.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Persistence cannot create Agent registration, model eligibility, Tool authority or VPF approval; registry state remains governed upstream.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Agent Pattern/Definition</w:t>
      </w:r>
    </w:p>
    <w:p>
      <w:pPr>
        <w:pStyle w:val="ListBullet"/>
      </w:pPr>
      <w:r>
        <w:t>Model Registry</w:t>
      </w:r>
    </w:p>
    <w:p>
      <w:pPr>
        <w:pStyle w:val="ListBullet"/>
      </w:pPr>
      <w:r>
        <w:t>Tool Registry</w:t>
      </w:r>
    </w:p>
    <w:p>
      <w:pPr>
        <w:pStyle w:val="ListBullet"/>
      </w:pPr>
      <w:r>
        <w:t>VPF Profile</w:t>
      </w:r>
    </w:p>
    <w:p>
      <w:pPr>
        <w:pStyle w:val="ListBullet"/>
      </w:pPr>
      <w:r>
        <w:t>Validation Artifact</w:t>
      </w:r>
    </w:p>
    <w:p>
      <w:pPr>
        <w:pStyle w:val="ListBullet"/>
      </w:pPr>
      <w:r>
        <w:t>version/history</w:t>
      </w:r>
    </w:p>
    <w:p>
      <w:pPr>
        <w:pStyle w:val="ListBullet"/>
      </w:pPr>
      <w:r>
        <w:t>references.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NCIE-003/004/007; NCIE-009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physical store choices and history requirements.</w:t>
      </w:r>
    </w:p>
    <w:p>
      <w:pPr>
        <w:pStyle w:val="Heading2"/>
      </w:pPr>
      <w:r>
        <w:t>Chapter 12 — Memory &amp; Context Persistence</w:t>
      </w:r>
    </w:p>
    <w:p>
      <w:r>
        <w:t>Chapter Purpose. Define physical realization of NCIE-006 Memory/Context storage roles.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Stored Memory ≠ current truth/authorization; Agent Context remains bounded and ephemeral where required.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User/Room/Investigation Memory</w:t>
      </w:r>
    </w:p>
    <w:p>
      <w:pPr>
        <w:pStyle w:val="ListBullet"/>
      </w:pPr>
      <w:r>
        <w:t>preferences</w:t>
      </w:r>
    </w:p>
    <w:p>
      <w:pPr>
        <w:pStyle w:val="ListBullet"/>
      </w:pPr>
      <w:r>
        <w:t>Agent Context</w:t>
      </w:r>
    </w:p>
    <w:p>
      <w:pPr>
        <w:pStyle w:val="ListBullet"/>
      </w:pPr>
      <w:r>
        <w:t>expiry</w:t>
      </w:r>
    </w:p>
    <w:p>
      <w:pPr>
        <w:pStyle w:val="ListBullet"/>
      </w:pPr>
      <w:r>
        <w:t>provenance</w:t>
      </w:r>
    </w:p>
    <w:p>
      <w:pPr>
        <w:pStyle w:val="ListBullet"/>
      </w:pPr>
      <w:r>
        <w:t>temporal state</w:t>
      </w:r>
    </w:p>
    <w:p>
      <w:pPr>
        <w:pStyle w:val="ListBullet"/>
      </w:pPr>
      <w:r>
        <w:t>invalidation</w:t>
      </w:r>
    </w:p>
    <w:p>
      <w:pPr>
        <w:pStyle w:val="ListBullet"/>
      </w:pPr>
      <w:r>
        <w:t>cache boundary.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v1.2; NCIE-009.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store allocation, retention and ephemeral-persistence policy.</w:t>
      </w:r>
    </w:p>
    <w:p>
      <w:pPr>
        <w:pStyle w:val="Heading2"/>
      </w:pPr>
      <w:r>
        <w:t>Chapter 13 — Evidence, Provenance &amp; Audit Persistence</w:t>
      </w:r>
    </w:p>
    <w:p>
      <w:r>
        <w:t>Chapter Purpose. Define physical storage for Evidence, custody, provenance and audit.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Physical immutability/tamper evidence supports integrity but does not establish truth; audit/provenance remain distinct.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versions</w:t>
      </w:r>
    </w:p>
    <w:p>
      <w:pPr>
        <w:pStyle w:val="ListBullet"/>
      </w:pPr>
      <w:r>
        <w:t>custody events</w:t>
      </w:r>
    </w:p>
    <w:p>
      <w:pPr>
        <w:pStyle w:val="ListBullet"/>
      </w:pPr>
      <w:r>
        <w:t>provenance graph</w:t>
      </w:r>
    </w:p>
    <w:p>
      <w:pPr>
        <w:pStyle w:val="ListBullet"/>
      </w:pPr>
      <w:r>
        <w:t>audit events</w:t>
      </w:r>
    </w:p>
    <w:p>
      <w:pPr>
        <w:pStyle w:val="ListBullet"/>
      </w:pPr>
      <w:r>
        <w:t>integrity metadata</w:t>
      </w:r>
    </w:p>
    <w:p>
      <w:pPr>
        <w:pStyle w:val="ListBullet"/>
      </w:pPr>
      <w:r>
        <w:t>historical state</w:t>
      </w:r>
    </w:p>
    <w:p>
      <w:pPr>
        <w:pStyle w:val="ListBullet"/>
      </w:pPr>
      <w:r>
        <w:t>access.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NCIE-010 v1.0; NCIE-009.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storage classes and heightened assurance requirements.</w:t>
      </w:r>
    </w:p>
    <w:p>
      <w:pPr>
        <w:pStyle w:val="Heading2"/>
      </w:pPr>
      <w:r>
        <w:t>Chapter 14 — Security, Identity, Secrets &amp; Key-Metadata Persistence Interface</w:t>
      </w:r>
    </w:p>
    <w:p>
      <w:r>
        <w:t>Chapter Purpose. Define persistence boundaries for security-related records without becoming the secrets/key authority.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Secrets/key material must follow NCIE-009; database administration does not create content/security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Identity references</w:t>
      </w:r>
    </w:p>
    <w:p>
      <w:pPr>
        <w:pStyle w:val="ListBullet"/>
      </w:pPr>
      <w:r>
        <w:t>authz-policy data</w:t>
      </w:r>
    </w:p>
    <w:p>
      <w:pPr>
        <w:pStyle w:val="ListBullet"/>
      </w:pPr>
      <w:r>
        <w:t>session metadata</w:t>
      </w:r>
    </w:p>
    <w:p>
      <w:pPr>
        <w:pStyle w:val="ListBullet"/>
      </w:pPr>
      <w:r>
        <w:t>secret references</w:t>
      </w:r>
    </w:p>
    <w:p>
      <w:pPr>
        <w:pStyle w:val="ListBullet"/>
      </w:pPr>
      <w:r>
        <w:t>key metadata</w:t>
      </w:r>
    </w:p>
    <w:p>
      <w:pPr>
        <w:pStyle w:val="ListBullet"/>
      </w:pPr>
      <w:r>
        <w:t>security events</w:t>
      </w:r>
    </w:p>
    <w:p>
      <w:pPr>
        <w:pStyle w:val="ListBullet"/>
      </w:pPr>
      <w:r>
        <w:t>privileged separation.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 Ch.3-12.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security records may reside in which stores.</w:t>
      </w:r>
    </w:p>
    <w:p>
      <w:pPr>
        <w:pStyle w:val="Heading2"/>
      </w:pPr>
      <w:r>
        <w:t>Chapter 15 — Physical Keys, Constraints &amp; Referential Integrity</w:t>
      </w:r>
    </w:p>
    <w:p>
      <w:r>
        <w:t>Chapter Purpose. Define physical integrity constraints.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Physical constraints enforce implementation consistency but cannot replace governance/business validation.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Primary/unique keys</w:t>
      </w:r>
    </w:p>
    <w:p>
      <w:pPr>
        <w:pStyle w:val="ListBullet"/>
      </w:pPr>
      <w:r>
        <w:t>foreign references</w:t>
      </w:r>
    </w:p>
    <w:p>
      <w:pPr>
        <w:pStyle w:val="ListBullet"/>
      </w:pPr>
      <w:r>
        <w:t>checks</w:t>
      </w:r>
    </w:p>
    <w:p>
      <w:pPr>
        <w:pStyle w:val="ListBullet"/>
      </w:pPr>
      <w:r>
        <w:t>nullability</w:t>
      </w:r>
    </w:p>
    <w:p>
      <w:pPr>
        <w:pStyle w:val="ListBullet"/>
      </w:pPr>
      <w:r>
        <w:t>temporal uniqueness</w:t>
      </w:r>
    </w:p>
    <w:p>
      <w:pPr>
        <w:pStyle w:val="ListBullet"/>
      </w:pPr>
      <w:r>
        <w:t>soft-delete/tombstone rules.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identifiers/cardinality.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constraint strictness for ingestion/staging versus canonical stores.</w:t>
      </w:r>
    </w:p>
    <w:p>
      <w:pPr>
        <w:pStyle w:val="Heading2"/>
      </w:pPr>
      <w:r>
        <w:t>Chapter 16 — Indexing &amp; Query Access Paths</w:t>
      </w:r>
    </w:p>
    <w:p>
      <w:r>
        <w:t>Chapter Purpose. Define indexes/access paths for required workloads.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PERFORMANCE OPTIMIZATION ≠ PERMISSION TO DROP PROVENANCE or weaken authorization filtering.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Primary/secondary indexes</w:t>
      </w:r>
    </w:p>
    <w:p>
      <w:pPr>
        <w:pStyle w:val="ListBullet"/>
      </w:pPr>
      <w:r>
        <w:t>composite paths</w:t>
      </w:r>
    </w:p>
    <w:p>
      <w:pPr>
        <w:pStyle w:val="ListBullet"/>
      </w:pPr>
      <w:r>
        <w:t>covering indexes concept</w:t>
      </w:r>
    </w:p>
    <w:p>
      <w:pPr>
        <w:pStyle w:val="ListBullet"/>
      </w:pPr>
      <w:r>
        <w:t>search paths</w:t>
      </w:r>
    </w:p>
    <w:p>
      <w:pPr>
        <w:pStyle w:val="ListBullet"/>
      </w:pPr>
      <w:r>
        <w:t>query patterns</w:t>
      </w:r>
    </w:p>
    <w:p>
      <w:pPr>
        <w:pStyle w:val="ListBullet"/>
      </w:pPr>
      <w:r>
        <w:t>maintenance.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workloads; NCIE-003; NCIE-013.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critical query/workload priorities.</w:t>
      </w:r>
    </w:p>
    <w:p>
      <w:pPr>
        <w:pStyle w:val="Heading2"/>
      </w:pPr>
      <w:r>
        <w:t>Chapter 17 — Partitioning, Sharding &amp; Distribution</w:t>
      </w:r>
    </w:p>
    <w:p>
      <w:r>
        <w:t>Chapter Purpose. Define physical distribution strategy.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PARTITIONING ≠ SECURITY BOUNDARY BY ITSELF; distribution must preserve residency, authorization and reconciliation.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Partition keys</w:t>
      </w:r>
    </w:p>
    <w:p>
      <w:pPr>
        <w:pStyle w:val="ListBullet"/>
      </w:pPr>
      <w:r>
        <w:t>sharding concept</w:t>
      </w:r>
    </w:p>
    <w:p>
      <w:pPr>
        <w:pStyle w:val="ListBullet"/>
      </w:pPr>
      <w:r>
        <w:t>tenant/domain/time partitions</w:t>
      </w:r>
    </w:p>
    <w:p>
      <w:pPr>
        <w:pStyle w:val="ListBullet"/>
      </w:pPr>
      <w:r>
        <w:t>rebalance</w:t>
      </w:r>
    </w:p>
    <w:p>
      <w:pPr>
        <w:pStyle w:val="ListBullet"/>
      </w:pPr>
      <w:r>
        <w:t>hotspots</w:t>
      </w:r>
    </w:p>
    <w:p>
      <w:pPr>
        <w:pStyle w:val="ListBullet"/>
      </w:pPr>
      <w:r>
        <w:t>cross-partition query</w:t>
      </w:r>
    </w:p>
    <w:p>
      <w:pPr>
        <w:pStyle w:val="ListBullet"/>
      </w:pPr>
      <w:r>
        <w:t>provenance.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scale; NCIE-009 residency; NCIE-003 temporal/domain models.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partition/shard criteria and sovereignty constraints.</w:t>
      </w:r>
    </w:p>
    <w:p>
      <w:pPr>
        <w:pStyle w:val="Heading2"/>
      </w:pPr>
      <w:r>
        <w:t>Chapter 18 — Replication, Consistency &amp; Authoritative-Read Semantics</w:t>
      </w:r>
    </w:p>
    <w:p>
      <w:r>
        <w:t>Chapter Purpose. Define replication and consistency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REPLICA ≠ AUTHORITATIVE CURRENT STATE. Workflows requiring current authority/state must use an approved authoritative-read path.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Primary/replica roles</w:t>
      </w:r>
    </w:p>
    <w:p>
      <w:pPr>
        <w:pStyle w:val="ListBullet"/>
      </w:pPr>
      <w:r>
        <w:t>consistency levels concept</w:t>
      </w:r>
    </w:p>
    <w:p>
      <w:pPr>
        <w:pStyle w:val="ListBullet"/>
      </w:pPr>
      <w:r>
        <w:t>lag</w:t>
      </w:r>
    </w:p>
    <w:p>
      <w:pPr>
        <w:pStyle w:val="ListBullet"/>
      </w:pPr>
      <w:r>
        <w:t>read routing</w:t>
      </w:r>
    </w:p>
    <w:p>
      <w:pPr>
        <w:pStyle w:val="ListBullet"/>
      </w:pPr>
      <w:r>
        <w:t>failover</w:t>
      </w:r>
    </w:p>
    <w:p>
      <w:pPr>
        <w:pStyle w:val="ListBullet"/>
      </w:pPr>
      <w:r>
        <w:t>stale-read indicators</w:t>
      </w:r>
    </w:p>
    <w:p>
      <w:pPr>
        <w:pStyle w:val="ListBullet"/>
      </w:pPr>
      <w:r>
        <w:t>reconciliation.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current-state; NCIE-009 authz; NCIE-011 APIs.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consistency requirements by workload.</w:t>
      </w:r>
    </w:p>
    <w:p>
      <w:pPr>
        <w:pStyle w:val="Heading2"/>
      </w:pPr>
      <w:r>
        <w:t>Chapter 19 — Caching &amp; Materialized Views</w:t>
      </w:r>
    </w:p>
    <w:p>
      <w:r>
        <w:t>Chapter Purpose. Define caching/materialization boundaries.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CACHE ≠ DURABLE RECORD; cached authorization, Evidence status or decision state cannot silently override current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Cache keys</w:t>
      </w:r>
    </w:p>
    <w:p>
      <w:pPr>
        <w:pStyle w:val="ListBullet"/>
      </w:pPr>
      <w:r>
        <w:t>TTL concept</w:t>
      </w:r>
    </w:p>
    <w:p>
      <w:pPr>
        <w:pStyle w:val="ListBullet"/>
      </w:pPr>
      <w:r>
        <w:t>invalidation</w:t>
      </w:r>
    </w:p>
    <w:p>
      <w:pPr>
        <w:pStyle w:val="ListBullet"/>
      </w:pPr>
      <w:r>
        <w:t>materialized views</w:t>
      </w:r>
    </w:p>
    <w:p>
      <w:pPr>
        <w:pStyle w:val="ListBullet"/>
      </w:pPr>
      <w:r>
        <w:t>refresh</w:t>
      </w:r>
    </w:p>
    <w:p>
      <w:pPr>
        <w:pStyle w:val="ListBullet"/>
      </w:pPr>
      <w:r>
        <w:t>stale indicators</w:t>
      </w:r>
    </w:p>
    <w:p>
      <w:pPr>
        <w:pStyle w:val="ListBullet"/>
      </w:pPr>
      <w:r>
        <w:t>sensitive cache controls.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Context/cache; NCIE-009; NCIE-011.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cacheable data classes and invalidation requirements.</w:t>
      </w:r>
    </w:p>
    <w:p>
      <w:pPr>
        <w:pStyle w:val="Heading2"/>
      </w:pPr>
      <w:r>
        <w:t>Chapter 20 — Data Classification, Residency &amp; Sovereignty Enforcement</w:t>
      </w:r>
    </w:p>
    <w:p>
      <w:r>
        <w:t>Chapter Purpose. Translate governance/security classifications into physical placement controls.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DATA LOCALITY ≠ RESIDENCY COMPLIANCE BY ITSELF; metadata, backups, replicas and indexes must be included in placement analysis.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Classification mapping</w:t>
      </w:r>
    </w:p>
    <w:p>
      <w:pPr>
        <w:pStyle w:val="ListBullet"/>
      </w:pPr>
      <w:r>
        <w:t>region/zone placement</w:t>
      </w:r>
    </w:p>
    <w:p>
      <w:pPr>
        <w:pStyle w:val="ListBullet"/>
      </w:pPr>
      <w:r>
        <w:t>replica locality</w:t>
      </w:r>
    </w:p>
    <w:p>
      <w:pPr>
        <w:pStyle w:val="ListBullet"/>
      </w:pPr>
      <w:r>
        <w:t>backup locality</w:t>
      </w:r>
    </w:p>
    <w:p>
      <w:pPr>
        <w:pStyle w:val="ListBullet"/>
      </w:pPr>
      <w:r>
        <w:t>index locality</w:t>
      </w:r>
    </w:p>
    <w:p>
      <w:pPr>
        <w:pStyle w:val="ListBullet"/>
      </w:pPr>
      <w:r>
        <w:t>cross-border controls.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NCIE-008/009; NCIE-003 classification.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approved residency/sovereignty rules and locations.</w:t>
      </w:r>
    </w:p>
    <w:p>
      <w:pPr>
        <w:pStyle w:val="Heading2"/>
      </w:pPr>
      <w:r>
        <w:t>Chapter 21 — Encryption, Tokenization &amp; Protected-Field Storage</w:t>
      </w:r>
    </w:p>
    <w:p>
      <w:r>
        <w:t>Chapter Purpose. Define physical protection of sensitive fields/data.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ENCRYPTION ≠ AUTHORIZATION; tokenization/masking must preserve governed linkage and minimum-necessary access.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At-rest encryption properties</w:t>
      </w:r>
    </w:p>
    <w:p>
      <w:pPr>
        <w:pStyle w:val="ListBullet"/>
      </w:pPr>
      <w:r>
        <w:t>field protection</w:t>
      </w:r>
    </w:p>
    <w:p>
      <w:pPr>
        <w:pStyle w:val="ListBullet"/>
      </w:pPr>
      <w:r>
        <w:t>token references</w:t>
      </w:r>
    </w:p>
    <w:p>
      <w:pPr>
        <w:pStyle w:val="ListBullet"/>
      </w:pPr>
      <w:r>
        <w:t>masking</w:t>
      </w:r>
    </w:p>
    <w:p>
      <w:pPr>
        <w:pStyle w:val="ListBullet"/>
      </w:pPr>
      <w:r>
        <w:t>protected identity</w:t>
      </w:r>
    </w:p>
    <w:p>
      <w:pPr>
        <w:pStyle w:val="ListBullet"/>
      </w:pPr>
      <w:r>
        <w:t>key separation interface.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protected identity; NCIE-009 crypto/privacy.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protection policy by data class.</w:t>
      </w:r>
    </w:p>
    <w:p>
      <w:pPr>
        <w:pStyle w:val="Heading2"/>
      </w:pPr>
      <w:r>
        <w:t>Chapter 22 — Retention, Legal Hold, Archival &amp; Disposition Engineering</w:t>
      </w:r>
    </w:p>
    <w:p>
      <w:r>
        <w:t>Chapter Purpose. Implement logical retention/disposition physically.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RETENTION ≠ LEGAL HOLD RELEASE; disposition must preserve required history/tombstones and not falsify Evidence/audit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Retention class</w:t>
      </w:r>
    </w:p>
    <w:p>
      <w:pPr>
        <w:pStyle w:val="ListBullet"/>
      </w:pPr>
      <w:r>
        <w:t>hold</w:t>
      </w:r>
    </w:p>
    <w:p>
      <w:pPr>
        <w:pStyle w:val="ListBullet"/>
      </w:pPr>
      <w:r>
        <w:t>archive tier</w:t>
      </w:r>
    </w:p>
    <w:p>
      <w:pPr>
        <w:pStyle w:val="ListBullet"/>
      </w:pPr>
      <w:r>
        <w:t>tombstone</w:t>
      </w:r>
    </w:p>
    <w:p>
      <w:pPr>
        <w:pStyle w:val="ListBullet"/>
      </w:pPr>
      <w:r>
        <w:t>deletion workflow</w:t>
      </w:r>
    </w:p>
    <w:p>
      <w:pPr>
        <w:pStyle w:val="ListBullet"/>
      </w:pPr>
      <w:r>
        <w:t>purge verification</w:t>
      </w:r>
    </w:p>
    <w:p>
      <w:pPr>
        <w:pStyle w:val="ListBullet"/>
      </w:pPr>
      <w:r>
        <w:t>metadata retention.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retention; NCIE-008 governance; NCIE-010 Ch.24.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retention periods, hold authority and disposal rules.</w:t>
      </w:r>
    </w:p>
    <w:p>
      <w:pPr>
        <w:pStyle w:val="Heading2"/>
      </w:pPr>
      <w:r>
        <w:t>Chapter 23 — Backup, Restore &amp; Point-in-Time Recovery</w:t>
      </w:r>
    </w:p>
    <w:p>
      <w:r>
        <w:t>Chapter Purpose. Define physical backup/recovery architecture.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BACKUP ≠ CURRENT AUTHORIZATION and RESTORE ≠ REAUTHORIZATION; restored state must reconcile current identity/eligibility/policy.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Backup sets</w:t>
      </w:r>
    </w:p>
    <w:p>
      <w:pPr>
        <w:pStyle w:val="ListBullet"/>
      </w:pPr>
      <w:r>
        <w:t>snapshots concept</w:t>
      </w:r>
    </w:p>
    <w:p>
      <w:pPr>
        <w:pStyle w:val="ListBullet"/>
      </w:pPr>
      <w:r>
        <w:t>PITR</w:t>
      </w:r>
    </w:p>
    <w:p>
      <w:pPr>
        <w:pStyle w:val="ListBullet"/>
      </w:pPr>
      <w:r>
        <w:t>restore validation</w:t>
      </w:r>
    </w:p>
    <w:p>
      <w:pPr>
        <w:pStyle w:val="ListBullet"/>
      </w:pPr>
      <w:r>
        <w:t>isolation</w:t>
      </w:r>
    </w:p>
    <w:p>
      <w:pPr>
        <w:pStyle w:val="ListBullet"/>
      </w:pPr>
      <w:r>
        <w:t>encryption</w:t>
      </w:r>
    </w:p>
    <w:p>
      <w:pPr>
        <w:pStyle w:val="ListBullet"/>
      </w:pPr>
      <w:r>
        <w:t>catalog</w:t>
      </w:r>
    </w:p>
    <w:p>
      <w:pPr>
        <w:pStyle w:val="ListBullet"/>
      </w:pPr>
      <w:r>
        <w:t>recovery sequence.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resilience; NCIE-009/010 recovery.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RPO/RTO and backup classes.</w:t>
      </w:r>
    </w:p>
    <w:p>
      <w:pPr>
        <w:pStyle w:val="Heading2"/>
      </w:pPr>
      <w:r>
        <w:t>Chapter 24 — Disaster Recovery &amp; Cross-Site Persistence</w:t>
      </w:r>
    </w:p>
    <w:p>
      <w:r>
        <w:t>Chapter Purpose. Define cross-site persistence/failover.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Failover must not activate stale policy, secrets, Agent eligibility or Evidence state; recovery gaps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Replication/failover</w:t>
      </w:r>
    </w:p>
    <w:p>
      <w:pPr>
        <w:pStyle w:val="ListBullet"/>
      </w:pPr>
      <w:r>
        <w:t>DR copy</w:t>
      </w:r>
    </w:p>
    <w:p>
      <w:pPr>
        <w:pStyle w:val="ListBullet"/>
      </w:pPr>
      <w:r>
        <w:t>promotion</w:t>
      </w:r>
    </w:p>
    <w:p>
      <w:pPr>
        <w:pStyle w:val="ListBullet"/>
      </w:pPr>
      <w:r>
        <w:t>fencing</w:t>
      </w:r>
    </w:p>
    <w:p>
      <w:pPr>
        <w:pStyle w:val="ListBullet"/>
      </w:pPr>
      <w:r>
        <w:t>split-brain prevention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failback.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DR; NCIE-009;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DR topology and sovereignty constraints.</w:t>
      </w:r>
    </w:p>
    <w:p>
      <w:pPr>
        <w:pStyle w:val="Heading2"/>
      </w:pPr>
      <w:r>
        <w:t>Chapter 25 — Schema Migration &amp; Database Change Management</w:t>
      </w:r>
    </w:p>
    <w:p>
      <w:r>
        <w:t>Chapter Purpose. Define safe physical schema evolution.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SCHEMA MIGRATION ≠ SEMANTIC REDEFINITION; breaking semantic change requires upstream canonical governance.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Migration version</w:t>
      </w:r>
    </w:p>
    <w:p>
      <w:pPr>
        <w:pStyle w:val="ListBullet"/>
      </w:pPr>
      <w:r>
        <w:t>expand/contract</w:t>
      </w:r>
    </w:p>
    <w:p>
      <w:pPr>
        <w:pStyle w:val="ListBullet"/>
      </w:pPr>
      <w:r>
        <w:t>compatibility</w:t>
      </w:r>
    </w:p>
    <w:p>
      <w:pPr>
        <w:pStyle w:val="ListBullet"/>
      </w:pPr>
      <w:r>
        <w:t>backfill</w:t>
      </w:r>
    </w:p>
    <w:p>
      <w:pPr>
        <w:pStyle w:val="ListBullet"/>
      </w:pPr>
      <w:r>
        <w:t>rollback</w:t>
      </w:r>
    </w:p>
    <w:p>
      <w:pPr>
        <w:pStyle w:val="ListBullet"/>
      </w:pPr>
      <w:r>
        <w:t>lock/availability risk</w:t>
      </w:r>
    </w:p>
    <w:p>
      <w:pPr>
        <w:pStyle w:val="ListBullet"/>
      </w:pPr>
      <w:r>
        <w:t>provenance.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schema governance; NCIE-004 CI/CD; NCIE-011 contracts.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migration approval and downtime tolerance.</w:t>
      </w:r>
    </w:p>
    <w:p>
      <w:pPr>
        <w:pStyle w:val="Heading2"/>
      </w:pPr>
      <w:r>
        <w:t>Chapter 26 — Data Migration, Backfill &amp; Legacy Reconciliation</w:t>
      </w:r>
    </w:p>
    <w:p>
      <w:r>
        <w:t>Chapter Purpose. Define movement of legacy/historical data into governed stores.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MIGRATION SUCCESS ≠ RECONCILIATION COMPLETE; counts/checksums alone do not prove semantic correctness.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Source inventory</w:t>
      </w:r>
    </w:p>
    <w:p>
      <w:pPr>
        <w:pStyle w:val="ListBullet"/>
      </w:pPr>
      <w:r>
        <w:t>mapping</w:t>
      </w:r>
    </w:p>
    <w:p>
      <w:pPr>
        <w:pStyle w:val="ListBullet"/>
      </w:pPr>
      <w:r>
        <w:t>transform</w:t>
      </w:r>
    </w:p>
    <w:p>
      <w:pPr>
        <w:pStyle w:val="ListBullet"/>
      </w:pPr>
      <w:r>
        <w:t>validation</w:t>
      </w:r>
    </w:p>
    <w:p>
      <w:pPr>
        <w:pStyle w:val="ListBullet"/>
      </w:pPr>
      <w:r>
        <w:t>backfill</w:t>
      </w:r>
    </w:p>
    <w:p>
      <w:pPr>
        <w:pStyle w:val="ListBullet"/>
      </w:pPr>
      <w:r>
        <w:t>exceptions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provenance</w:t>
      </w:r>
    </w:p>
    <w:p>
      <w:pPr>
        <w:pStyle w:val="ListBullet"/>
      </w:pPr>
      <w:r>
        <w:t>cutover.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Ch.34; NCIE-010 provenance.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legacy sources, acceptance criteria and reconciliation authority.</w:t>
      </w:r>
    </w:p>
    <w:p>
      <w:pPr>
        <w:pStyle w:val="Heading2"/>
      </w:pPr>
      <w:r>
        <w:t>Chapter 27 — Data Lifecycle Reconciliation &amp; Repair</w:t>
      </w:r>
    </w:p>
    <w:p>
      <w:r>
        <w:t>Chapter Purpose. Define detection/repair of missing, duplicate, conflicting or divergent persisted state.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Repair must preserve history and provenance; automated repair cannot silently rewrite institutional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Reconciliation jobs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divergence</w:t>
      </w:r>
    </w:p>
    <w:p>
      <w:pPr>
        <w:pStyle w:val="ListBullet"/>
      </w:pPr>
      <w:r>
        <w:t>repair proposal</w:t>
      </w:r>
    </w:p>
    <w:p>
      <w:pPr>
        <w:pStyle w:val="ListBullet"/>
      </w:pPr>
      <w:r>
        <w:t>approval</w:t>
      </w:r>
    </w:p>
    <w:p>
      <w:pPr>
        <w:pStyle w:val="ListBullet"/>
      </w:pPr>
      <w:r>
        <w:t>audit</w:t>
      </w:r>
    </w:p>
    <w:p>
      <w:pPr>
        <w:pStyle w:val="ListBullet"/>
      </w:pPr>
      <w:r>
        <w:t>post-repair verification.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NCIE-003/010/011.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auto-repair boundaries and approval.</w:t>
      </w:r>
    </w:p>
    <w:p>
      <w:pPr>
        <w:pStyle w:val="Heading2"/>
      </w:pPr>
      <w:r>
        <w:t>Chapter 28 — Database Security &amp; Privileged Administration</w:t>
      </w:r>
    </w:p>
    <w:p>
      <w:r>
        <w:t>Chapter Purpose. Define database/storage security administration under NCIE-009.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DATABASE ADMINISTRATION ≠ CONTENT AUTHORITY; privileged maintenance must remain attributable and least-privileged.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DB identities</w:t>
      </w:r>
    </w:p>
    <w:p>
      <w:pPr>
        <w:pStyle w:val="ListBullet"/>
      </w:pPr>
      <w:r>
        <w:t>privileged roles</w:t>
      </w:r>
    </w:p>
    <w:p>
      <w:pPr>
        <w:pStyle w:val="ListBullet"/>
      </w:pPr>
      <w:r>
        <w:t>elevation</w:t>
      </w:r>
    </w:p>
    <w:p>
      <w:pPr>
        <w:pStyle w:val="ListBullet"/>
      </w:pPr>
      <w:r>
        <w:t>break-glass</w:t>
      </w:r>
    </w:p>
    <w:p>
      <w:pPr>
        <w:pStyle w:val="ListBullet"/>
      </w:pPr>
      <w:r>
        <w:t>row/field security interface</w:t>
      </w:r>
    </w:p>
    <w:p>
      <w:pPr>
        <w:pStyle w:val="ListBullet"/>
      </w:pPr>
      <w:r>
        <w:t>admin audit</w:t>
      </w:r>
    </w:p>
    <w:p>
      <w:pPr>
        <w:pStyle w:val="ListBullet"/>
      </w:pPr>
      <w:r>
        <w:t>separation.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 Ch.8-9; NCIE-008 SoD.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DBA privilege model and emergency authority.</w:t>
      </w:r>
    </w:p>
    <w:p>
      <w:pPr>
        <w:pStyle w:val="Heading2"/>
      </w:pPr>
      <w:r>
        <w:t>Chapter 29 — Storage Observability, Capacity &amp; Health</w:t>
      </w:r>
    </w:p>
    <w:p>
      <w:r>
        <w:t>Chapter Purpose. Define operational storage observability without preempting NCIE-015.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Telemetry supports operation but is not audit/provenance; capacity signals must not be mistaken for business/data-quality truth.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Capacity</w:t>
      </w:r>
    </w:p>
    <w:p>
      <w:pPr>
        <w:pStyle w:val="ListBullet"/>
      </w:pPr>
      <w:r>
        <w:t>latency</w:t>
      </w:r>
    </w:p>
    <w:p>
      <w:pPr>
        <w:pStyle w:val="ListBullet"/>
      </w:pPr>
      <w:r>
        <w:t>errors</w:t>
      </w:r>
    </w:p>
    <w:p>
      <w:pPr>
        <w:pStyle w:val="ListBullet"/>
      </w:pPr>
      <w:r>
        <w:t>saturation</w:t>
      </w:r>
    </w:p>
    <w:p>
      <w:pPr>
        <w:pStyle w:val="ListBullet"/>
      </w:pPr>
      <w:r>
        <w:t>replication lag</w:t>
      </w:r>
    </w:p>
    <w:p>
      <w:pPr>
        <w:pStyle w:val="ListBullet"/>
      </w:pPr>
      <w:r>
        <w:t>backup health</w:t>
      </w:r>
    </w:p>
    <w:p>
      <w:pPr>
        <w:pStyle w:val="ListBullet"/>
      </w:pPr>
      <w:r>
        <w:t>index health</w:t>
      </w:r>
    </w:p>
    <w:p>
      <w:pPr>
        <w:pStyle w:val="ListBullet"/>
      </w:pPr>
      <w:r>
        <w:t>storage growth</w:t>
      </w:r>
    </w:p>
    <w:p>
      <w:pPr>
        <w:pStyle w:val="ListBullet"/>
      </w:pPr>
      <w:r>
        <w:t>alerts.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observability; NCIE-010 distinctions; NCIE-015 downstream.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storage SLO/capacity thresholds.</w:t>
      </w:r>
    </w:p>
    <w:p>
      <w:pPr>
        <w:pStyle w:val="Heading2"/>
      </w:pPr>
      <w:r>
        <w:t>Chapter 30 — Performance Engineering &amp; Query Optimization</w:t>
      </w:r>
    </w:p>
    <w:p>
      <w:r>
        <w:t>Chapter Purpose. Define performance validation/optimization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Optimization must not weaken correctness, authorization, provenance or historical integrity.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Query plans</w:t>
      </w:r>
    </w:p>
    <w:p>
      <w:pPr>
        <w:pStyle w:val="ListBullet"/>
      </w:pPr>
      <w:r>
        <w:t>workload profiles</w:t>
      </w:r>
    </w:p>
    <w:p>
      <w:pPr>
        <w:pStyle w:val="ListBullet"/>
      </w:pPr>
      <w:r>
        <w:t>indexing</w:t>
      </w:r>
    </w:p>
    <w:p>
      <w:pPr>
        <w:pStyle w:val="ListBullet"/>
      </w:pPr>
      <w:r>
        <w:t>partition pruning</w:t>
      </w:r>
    </w:p>
    <w:p>
      <w:pPr>
        <w:pStyle w:val="ListBullet"/>
      </w:pPr>
      <w:r>
        <w:t>caching</w:t>
      </w:r>
    </w:p>
    <w:p>
      <w:pPr>
        <w:pStyle w:val="ListBullet"/>
      </w:pPr>
      <w:r>
        <w:t>batch/stream balance</w:t>
      </w:r>
    </w:p>
    <w:p>
      <w:pPr>
        <w:pStyle w:val="ListBullet"/>
      </w:pPr>
      <w:r>
        <w:t>regression detection.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NFRs; NCIE-013 workloads.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critical workloads and performance targets.</w:t>
      </w:r>
    </w:p>
    <w:p>
      <w:pPr>
        <w:pStyle w:val="Heading2"/>
      </w:pPr>
      <w:r>
        <w:t>Chapter 31 — Cost, Tiering &amp; Storage Efficiency</w:t>
      </w:r>
    </w:p>
    <w:p>
      <w:r>
        <w:t>Chapter Purpose. Define governed storage-efficiency architecture.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Cost optimization cannot silently shorten retention, weaken redundancy or move data across sovereignty boundaries.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Hot/warm/cold concept</w:t>
      </w:r>
    </w:p>
    <w:p>
      <w:pPr>
        <w:pStyle w:val="ListBullet"/>
      </w:pPr>
      <w:r>
        <w:t>compression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archive</w:t>
      </w:r>
    </w:p>
    <w:p>
      <w:pPr>
        <w:pStyle w:val="ListBullet"/>
      </w:pPr>
      <w:r>
        <w:t>lifecycle</w:t>
      </w:r>
    </w:p>
    <w:p>
      <w:pPr>
        <w:pStyle w:val="ListBullet"/>
      </w:pPr>
      <w:r>
        <w:t>capacity planning</w:t>
      </w:r>
    </w:p>
    <w:p>
      <w:pPr>
        <w:pStyle w:val="ListBullet"/>
      </w:pPr>
      <w:r>
        <w:t>cost attribution.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technology/cost; NCIE-008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cost objectives and permitted tiering.</w:t>
      </w:r>
    </w:p>
    <w:p>
      <w:pPr>
        <w:pStyle w:val="Heading2"/>
      </w:pPr>
      <w:r>
        <w:t>Chapter 32 — Database / Storage Testing &amp; Verification</w:t>
      </w:r>
    </w:p>
    <w:p>
      <w:r>
        <w:t>Chapter Purpose. Define persistence test classes without duplicating NCIE-016.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SPECIFIED ≠ TEST EXECUTED; successful CRUD does not prove recovery, migration, residency, integrity or performance correctness.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Schema/constraint</w:t>
      </w:r>
    </w:p>
    <w:p>
      <w:pPr>
        <w:pStyle w:val="ListBullet"/>
      </w:pPr>
      <w:r>
        <w:t>migration</w:t>
      </w:r>
    </w:p>
    <w:p>
      <w:pPr>
        <w:pStyle w:val="ListBullet"/>
      </w:pPr>
      <w:r>
        <w:t>backup/restore</w:t>
      </w:r>
    </w:p>
    <w:p>
      <w:pPr>
        <w:pStyle w:val="ListBullet"/>
      </w:pPr>
      <w:r>
        <w:t>DR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security</w:t>
      </w:r>
    </w:p>
    <w:p>
      <w:pPr>
        <w:pStyle w:val="ListBullet"/>
      </w:pPr>
      <w:r>
        <w:t>residency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corruption tests.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NCIE-016 downstream; NCIE-009/010 assurance.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test acceptance authority and required scenarios.</w:t>
      </w:r>
    </w:p>
    <w:p>
      <w:pPr>
        <w:pStyle w:val="Heading2"/>
      </w:pPr>
      <w:r>
        <w:t>Chapter 33 — Human Review Register &amp; Open Persistence Decisions</w:t>
      </w:r>
    </w:p>
    <w:p>
      <w:r>
        <w:t>Chapter Purpose. Consolidate unresolved NCIE-014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Do not invent technology selections, RPO/RTO, retention periods or residency rules; deduplicate upstream questions and state precise blocking scope.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 chapter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upstream dependency</w:t>
      </w:r>
    </w:p>
    <w:p>
      <w:pPr>
        <w:pStyle w:val="ListBullet"/>
      </w:pPr>
      <w:r>
        <w:t>status.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Chapters 1–32 and 34; NCIE-008–013 Human Review.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which persistence decisions must close before expansion/approval.</w:t>
      </w:r>
    </w:p>
    <w:p>
      <w:pPr>
        <w:pStyle w:val="Heading2"/>
      </w:pPr>
      <w:r>
        <w:t>Chapter 34 — Traceability, Acceptance &amp; Downstream Handover</w:t>
      </w:r>
    </w:p>
    <w:p>
      <w:r>
        <w:t>Chapter Purpose. Close traceability and handoff.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only; architecture approval does not prove migration, restore, DR, performance or production readiness.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skeleton fidelity</w:t>
      </w:r>
    </w:p>
    <w:p>
      <w:pPr>
        <w:pStyle w:val="ListBullet"/>
      </w:pPr>
      <w:r>
        <w:t>HR gate</w:t>
      </w:r>
    </w:p>
    <w:p>
      <w:pPr>
        <w:pStyle w:val="ListBullet"/>
      </w:pPr>
      <w:r>
        <w:t>handover to NCIE-015/016/017.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Approved NCIE-001–013; Production-Ready register.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skeletal structure and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NCIE-014 acceptance/sign-off authority.</w:t>
      </w:r>
    </w:p>
    <w:p>
      <w:pPr>
        <w:pStyle w:val="ListBullet"/>
      </w:pPr>
      <w:r>
        <w:t>Physical naming and canonical-to-physical mapping conventions.</w:t>
      </w:r>
    </w:p>
    <w:p>
      <w:pPr>
        <w:pStyle w:val="ListBullet"/>
      </w:pPr>
      <w:r>
        <w:t>Approved relational, analytical, object, search, vector, graph and time-series technologies.</w:t>
      </w:r>
    </w:p>
    <w:p>
      <w:pPr>
        <w:pStyle w:val="ListBullet"/>
      </w:pPr>
      <w:r>
        <w:t>Transactional and consistency requirements by workload.</w:t>
      </w:r>
    </w:p>
    <w:p>
      <w:pPr>
        <w:pStyle w:val="ListBullet"/>
      </w:pPr>
      <w:r>
        <w:t>Search/vector freshness and sensitive-data policy.</w:t>
      </w:r>
    </w:p>
    <w:p>
      <w:pPr>
        <w:pStyle w:val="ListBullet"/>
      </w:pPr>
      <w:r>
        <w:t>Registry, Memory/Context and Evidence/audit store allocation.</w:t>
      </w:r>
    </w:p>
    <w:p>
      <w:pPr>
        <w:pStyle w:val="ListBullet"/>
      </w:pPr>
      <w:r>
        <w:t>Partitioning/sharding criteria and sovereignty constraints.</w:t>
      </w:r>
    </w:p>
    <w:p>
      <w:pPr>
        <w:pStyle w:val="ListBullet"/>
      </w:pPr>
      <w:r>
        <w:t>Authoritative-read requirements and acceptable replica lag by workload.</w:t>
      </w:r>
    </w:p>
    <w:p>
      <w:pPr>
        <w:pStyle w:val="ListBullet"/>
      </w:pPr>
      <w:r>
        <w:t>Cacheable data classes and invalidation requirements.</w:t>
      </w:r>
    </w:p>
    <w:p>
      <w:pPr>
        <w:pStyle w:val="ListBullet"/>
      </w:pPr>
      <w:r>
        <w:t>Residency/sovereignty rules covering primary stores, replicas, indexes and backups.</w:t>
      </w:r>
    </w:p>
    <w:p>
      <w:pPr>
        <w:pStyle w:val="ListBullet"/>
      </w:pPr>
      <w:r>
        <w:t>Encryption/tokenization/protected-field policy by data class.</w:t>
      </w:r>
    </w:p>
    <w:p>
      <w:pPr>
        <w:pStyle w:val="ListBullet"/>
      </w:pPr>
      <w:r>
        <w:t>Retention periods, legal-hold authority and disposition rules.</w:t>
      </w:r>
    </w:p>
    <w:p>
      <w:pPr>
        <w:pStyle w:val="ListBullet"/>
      </w:pPr>
      <w:r>
        <w:t>RPO/RTO, backup classes and DR topology.</w:t>
      </w:r>
    </w:p>
    <w:p>
      <w:pPr>
        <w:pStyle w:val="ListBullet"/>
      </w:pPr>
      <w:r>
        <w:t>Schema-migration approval and downtime tolerance.</w:t>
      </w:r>
    </w:p>
    <w:p>
      <w:pPr>
        <w:pStyle w:val="ListBullet"/>
      </w:pPr>
      <w:r>
        <w:t>Legacy-source migration acceptance and reconciliation authority.</w:t>
      </w:r>
    </w:p>
    <w:p>
      <w:pPr>
        <w:pStyle w:val="ListBullet"/>
      </w:pPr>
      <w:r>
        <w:t>Automated repair boundaries.</w:t>
      </w:r>
    </w:p>
    <w:p>
      <w:pPr>
        <w:pStyle w:val="ListBullet"/>
      </w:pPr>
      <w:r>
        <w:t>DBA privilege model and emergency authority.</w:t>
      </w:r>
    </w:p>
    <w:p>
      <w:pPr>
        <w:pStyle w:val="ListBullet"/>
      </w:pPr>
      <w:r>
        <w:t>Storage SLO/capacity and critical performance targets.</w:t>
      </w:r>
    </w:p>
    <w:p>
      <w:pPr>
        <w:pStyle w:val="ListBullet"/>
      </w:pPr>
      <w:r>
        <w:t>Cost/tiering objectives.</w:t>
      </w:r>
    </w:p>
    <w:p>
      <w:pPr>
        <w:pStyle w:val="ListBullet"/>
      </w:pPr>
      <w:r>
        <w:t>Persistence test acceptance authority and required scenarios.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select unresolved database/storage technologies, approve retention/residency rules, prove migration/recovery, or establish test execution.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NCIE-014 | DATABASE &amp; STORAGE ENGINEERING SPECIFICATION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