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NCIE-014 CLAUDE FULL-EXPANSION PRODUCTION DIRECTIVE</w:t>
      </w:r>
    </w:p>
    <w:p>
      <w:pPr>
        <w:pStyle w:val="Heading1"/>
      </w:pPr>
      <w:r>
        <w:t>Approved Skeletal v0.1 → Full Database &amp; Storage Engineering Specification v1.0</w:t>
      </w:r>
    </w:p>
    <w:p>
      <w:r>
        <w:t>CONTROLLED EXPANSION. The Human-approved 34-chapter NCIE-014 Skeletal v0.1 is structurally authoritative. Full v1.0 remains IN DEVELOPMENT / FOR HUMAN REVIEW until separately approved.</w:t>
      </w:r>
    </w:p>
    <w:p>
      <w:pPr>
        <w:pStyle w:val="Heading2"/>
      </w:pPr>
      <w:r>
        <w:t>1. Execution mandate</w:t>
      </w:r>
    </w:p>
    <w:p>
      <w:r>
        <w:t>Expand the Human-approved NCIE-014 Skeletal v0.1 into the complete NCIE-014 Database &amp; Storage Engineering Specification v1.0. Elaborate the approved architecture; do not redesign it.</w:t>
      </w:r>
    </w:p>
    <w:p>
      <w:pPr>
        <w:pStyle w:val="Heading2"/>
      </w:pPr>
      <w:r>
        <w:t>2. Authority chain</w:t>
      </w:r>
    </w:p>
    <w:p>
      <w:r>
        <w:t>Use approved NCIE-001 v1.3 through NCIE-013 v1.0 as substantive upstream authority. Use the approved NCIE-014 skeleton as structural authority.</w:t>
      </w:r>
    </w:p>
    <w:p>
      <w:pPr>
        <w:pStyle w:val="Heading2"/>
      </w:pPr>
      <w:r>
        <w:t>3. Structural lock</w:t>
      </w:r>
    </w:p>
    <w:p>
      <w:r>
        <w:t>Preserve exactly 34 approved chapters, titles, order and boundaries. No chapter addition, deletion, merge, split or wholesale renumbering.</w:t>
      </w:r>
    </w:p>
    <w:p>
      <w:pPr>
        <w:pStyle w:val="Heading2"/>
      </w:pPr>
      <w:r>
        <w:t>4. Skeleton fidelity</w:t>
      </w:r>
    </w:p>
    <w:p>
      <w:r>
        <w:t>Every approved Chapter Purpose, Salient Things to Note, Principal Components, Upstream Dependencies/Authority and Human Review Focus must be substantively expanded.</w:t>
      </w:r>
    </w:p>
    <w:p>
      <w:pPr>
        <w:pStyle w:val="Heading2"/>
      </w:pPr>
      <w:r>
        <w:t>5. Salient-note hard gate</w:t>
      </w:r>
    </w:p>
    <w:p>
      <w:r>
        <w:t>Every full chapter must retain an explicit Salient Things to Note subsection. Mechanically verify 34/34 before delivery.</w:t>
      </w:r>
    </w:p>
    <w:p>
      <w:pPr>
        <w:pStyle w:val="Heading2"/>
      </w:pPr>
      <w:r>
        <w:t>6. Human-primary boundary</w:t>
      </w:r>
    </w:p>
    <w:p>
      <w:r>
        <w:t>Claude may expand and validate engineering detail but must not invent institutional authority, retention policy, sovereignty policy or silently resolve Human Review decisions.</w:t>
      </w:r>
    </w:p>
    <w:p>
      <w:pPr>
        <w:pStyle w:val="Heading2"/>
      </w:pPr>
      <w:r>
        <w:t>7. Canonical boundary</w:t>
      </w:r>
    </w:p>
    <w:p>
      <w:r>
        <w:t>NCIE-014 implements physical persistence for NCIE-003 semantics. PHYSICAL SCHEMA ≠ CANONICAL SEMANTIC MODEL and SCHEMA MIGRATION ≠ SEMANTIC REDEFINITION.</w:t>
      </w:r>
    </w:p>
    <w:p>
      <w:pPr>
        <w:pStyle w:val="Heading2"/>
      </w:pPr>
      <w:r>
        <w:t>8. No technology invention</w:t>
      </w:r>
    </w:p>
    <w:p>
      <w:r>
        <w:t>Do not invent or mandate relational, analytical, object, search, vector, graph, time-series, cache, backup or archival products unless explicitly fixed upstream.</w:t>
      </w:r>
    </w:p>
    <w:p>
      <w:pPr>
        <w:pStyle w:val="Heading2"/>
      </w:pPr>
      <w:r>
        <w:t>9. No numeric invention</w:t>
      </w:r>
    </w:p>
    <w:p>
      <w:r>
        <w:t>Do not invent RPO/RTO, replica counts, partition counts, cache TTLs, retention periods, backup frequency, lag thresholds, storage SLOs, performance targets or capacity thresholds.</w:t>
      </w:r>
    </w:p>
    <w:p>
      <w:pPr>
        <w:pStyle w:val="Heading2"/>
      </w:pPr>
      <w:r>
        <w:t>10. Controlled unresolved state</w:t>
      </w:r>
    </w:p>
    <w:p>
      <w:r>
        <w:t>Unresolved persistence choices become precise HR14 items with classification, blocking scope and upstream dependency.</w:t>
      </w:r>
    </w:p>
    <w:p>
      <w:pPr>
        <w:pStyle w:val="Heading2"/>
      </w:pPr>
      <w:r>
        <w:t>11. Authority/current-state invariants</w:t>
      </w:r>
    </w:p>
    <w:p>
      <w:r>
        <w:t>Preserve DATABASE RECORD ≠ INSTITUTIONAL TRUTH; REPLICA ≠ AUTHORITATIVE CURRENT STATE; BACKUP ≠ CURRENT AUTHORIZATION; RESTORE ≠ REAUTHORIZATION.</w:t>
      </w:r>
    </w:p>
    <w:p>
      <w:pPr>
        <w:pStyle w:val="Heading2"/>
      </w:pPr>
      <w:r>
        <w:t>12. Projection/index invariants</w:t>
      </w:r>
    </w:p>
    <w:p>
      <w:r>
        <w:t>Preserve INDEX ≠ SYSTEM OF RECORD; SEARCH INDEX ≠ CANONICAL STORE; VECTOR INDEX ≠ MEMORY AUTHORITY; GRAPH PROJECTION ≠ CANONICAL OWNERSHIP.</w:t>
      </w:r>
    </w:p>
    <w:p>
      <w:pPr>
        <w:pStyle w:val="Heading2"/>
      </w:pPr>
      <w:r>
        <w:t>13. Cache invariant</w:t>
      </w:r>
    </w:p>
    <w:p>
      <w:r>
        <w:t>Preserve CACHE ≠ DURABLE RECORD. Cached authorization, Evidence state or decision state cannot silently override authoritative current state.</w:t>
      </w:r>
    </w:p>
    <w:p>
      <w:pPr>
        <w:pStyle w:val="Heading2"/>
      </w:pPr>
      <w:r>
        <w:t>14. Security invariants</w:t>
      </w:r>
    </w:p>
    <w:p>
      <w:r>
        <w:t>Preserve ENCRYPTION ≠ AUTHORIZATION; DATABASE ADMINISTRATION ≠ CONTENT AUTHORITY; PARTITIONING ≠ SECURITY BOUNDARY BY ITSELF.</w:t>
      </w:r>
    </w:p>
    <w:p>
      <w:pPr>
        <w:pStyle w:val="Heading2"/>
      </w:pPr>
      <w:r>
        <w:t>15. Residency invariant</w:t>
      </w:r>
    </w:p>
    <w:p>
      <w:r>
        <w:t>Preserve DATA LOCALITY ≠ RESIDENCY COMPLIANCE BY ITSELF; analyze primary stores, replicas, indexes, caches, backups and archives.</w:t>
      </w:r>
    </w:p>
    <w:p>
      <w:pPr>
        <w:pStyle w:val="Heading2"/>
      </w:pPr>
      <w:r>
        <w:t>16. Historical-integrity invariants</w:t>
      </w:r>
    </w:p>
    <w:p>
      <w:r>
        <w:t>Preserve RETENTION ≠ LEGAL HOLD RELEASE; DELETION ≠ HISTORICAL ERASURE where governed history must remain; ARCHIVAL ≠ INVALIDATION.</w:t>
      </w:r>
    </w:p>
    <w:p>
      <w:pPr>
        <w:pStyle w:val="Heading2"/>
      </w:pPr>
      <w:r>
        <w:t>17. Migration invariant</w:t>
      </w:r>
    </w:p>
    <w:p>
      <w:r>
        <w:t>Preserve MIGRATION SUCCESS ≠ RECONCILIATION COMPLETE. Technical copy/checksum success does not prove semantic reconciliation.</w:t>
      </w:r>
    </w:p>
    <w:p>
      <w:pPr>
        <w:pStyle w:val="Heading2"/>
      </w:pPr>
      <w:r>
        <w:t>18. Optimization invariant</w:t>
      </w:r>
    </w:p>
    <w:p>
      <w:r>
        <w:t>Preserve PERFORMANCE OPTIMIZATION ≠ PERMISSION TO DROP PROVENANCE or weaken authorization/historical integrity.</w:t>
      </w:r>
    </w:p>
    <w:p>
      <w:pPr>
        <w:pStyle w:val="Heading2"/>
      </w:pPr>
      <w:r>
        <w:t>19. Integrity invariant</w:t>
      </w:r>
    </w:p>
    <w:p>
      <w:r>
        <w:t>Preserve IMMUTABILITY MECHANISM ≠ TRUTH OF CONTENT.</w:t>
      </w:r>
    </w:p>
    <w:p>
      <w:pPr>
        <w:pStyle w:val="Heading2"/>
      </w:pPr>
      <w:r>
        <w:t>20. Downstream non-preemption</w:t>
      </w:r>
    </w:p>
    <w:p>
      <w:r>
        <w:t>Do not preempt NCIE-015 deployment/operations or NCIE-016 detailed test execution; specify persistence requirements and handover only.</w:t>
      </w:r>
    </w:p>
    <w:p>
      <w:pPr>
        <w:pStyle w:val="Heading2"/>
      </w:pPr>
      <w:r>
        <w:t>21. Chapter 1 expansion — Mandate, Authority Chain &amp; Persistence Boundary</w:t>
      </w:r>
    </w:p>
    <w:p>
      <w:r>
        <w:t>Define mandate, scope, authority chain, exclusions and physical/logical persistence boundary.</w:t>
      </w:r>
    </w:p>
    <w:p>
      <w:pPr>
        <w:pStyle w:val="Heading2"/>
      </w:pPr>
      <w:r>
        <w:t>22. Chapter 2 expansion — Persistence Engineering Doctrine</w:t>
      </w:r>
    </w:p>
    <w:p>
      <w:r>
        <w:t>Expand durability, consistency, isolation, traceability, least privilege, recoverability, portability and semantic-preservation doctrine.</w:t>
      </w:r>
    </w:p>
    <w:p>
      <w:pPr>
        <w:pStyle w:val="Heading2"/>
      </w:pPr>
      <w:r>
        <w:t>23. Chapter 3 expansion — Canonical-to-Physical Mapping Governance</w:t>
      </w:r>
    </w:p>
    <w:p>
      <w:r>
        <w:t>Define canonical-to-physical mapping register, entity/field/type/constraint/derived-field/version linkage without semantic redefinition.</w:t>
      </w:r>
    </w:p>
    <w:p>
      <w:pPr>
        <w:pStyle w:val="Heading2"/>
      </w:pPr>
      <w:r>
        <w:t>24. Chapter 4 expansion — Relational / Transactional Persistence Design</w:t>
      </w:r>
    </w:p>
    <w:p>
      <w:r>
        <w:t>Define transactional physical design: tables, keys, constraints, transactions, concurrency, temporal fields and normalization/denormalization choices without unsourced vendor selection.</w:t>
      </w:r>
    </w:p>
    <w:p>
      <w:pPr>
        <w:pStyle w:val="Heading2"/>
      </w:pPr>
      <w:r>
        <w:t>25. Chapter 5 expansion — Analytical / Columnar Persistence Design</w:t>
      </w:r>
    </w:p>
    <w:p>
      <w:r>
        <w:t>Define analytical/columnar design: facts/dimensions, aggregates/materializations, refresh, lineage and historical partitions; projections remain non-canonical.</w:t>
      </w:r>
    </w:p>
    <w:p>
      <w:pPr>
        <w:pStyle w:val="Heading2"/>
      </w:pPr>
      <w:r>
        <w:t>26. Chapter 6 expansion — Object / Blob Storage Design</w:t>
      </w:r>
    </w:p>
    <w:p>
      <w:r>
        <w:t>Define object/blob design: object identity, metadata, versioning, integrity, lifecycle and access; object availability never establishes Evidence status.</w:t>
      </w:r>
    </w:p>
    <w:p>
      <w:pPr>
        <w:pStyle w:val="Heading2"/>
      </w:pPr>
      <w:r>
        <w:t>27. Chapter 7 expansion — Search Index Engineering</w:t>
      </w:r>
    </w:p>
    <w:p>
      <w:r>
        <w:t>Define search indexing: source references, freshness, updates, tombstones/deletion and authorization-filtering interface; index ≠ authoritative store.</w:t>
      </w:r>
    </w:p>
    <w:p>
      <w:pPr>
        <w:pStyle w:val="Heading2"/>
      </w:pPr>
      <w:r>
        <w:t>28. Chapter 8 expansion — Vector Index / Embedding Persistence</w:t>
      </w:r>
    </w:p>
    <w:p>
      <w:r>
        <w:t>Define vector persistence: source/version, namespace, freshness, deletion/re-embedding and authorization filters; similarity ≠ authority/Evidence.</w:t>
      </w:r>
    </w:p>
    <w:p>
      <w:pPr>
        <w:pStyle w:val="Heading2"/>
      </w:pPr>
      <w:r>
        <w:t>29. Chapter 9 expansion — Graph Persistence &amp; Relationship Projections</w:t>
      </w:r>
    </w:p>
    <w:p>
      <w:r>
        <w:t>Define graph persistence: canonical references, projections, temporal relationships, provenance and rebuild/reconciliation; relationship ≠ causality.</w:t>
      </w:r>
    </w:p>
    <w:p>
      <w:pPr>
        <w:pStyle w:val="Heading2"/>
      </w:pPr>
      <w:r>
        <w:t>30. Chapter 10 expansion — Time-Series &amp; Metrics Persistence</w:t>
      </w:r>
    </w:p>
    <w:p>
      <w:r>
        <w:t>Define time-series/KPI/telemetry persistence with series identity, timestamps, dimensions, rollups, late/corrected data and provenance; keep telemetry and domain KPI semantics distinct.</w:t>
      </w:r>
    </w:p>
    <w:p>
      <w:pPr>
        <w:pStyle w:val="Heading2"/>
      </w:pPr>
      <w:r>
        <w:t>31. Chapter 11 expansion — Agent, Model, Tool &amp; VPF Registry Persistence</w:t>
      </w:r>
    </w:p>
    <w:p>
      <w:r>
        <w:t>Define physical persistence for Agent/Model/Tool/VPF registries and history without allowing storage state to create registration, eligibility or approval.</w:t>
      </w:r>
    </w:p>
    <w:p>
      <w:pPr>
        <w:pStyle w:val="Heading2"/>
      </w:pPr>
      <w:r>
        <w:t>32. Chapter 12 expansion — Memory &amp; Context Persistence</w:t>
      </w:r>
    </w:p>
    <w:p>
      <w:r>
        <w:t>Define User/Room/Investigation Memory, preferences and Agent Context persistence/expiry/provenance/invalidation/cache boundaries exactly within NCIE-006 semantics.</w:t>
      </w:r>
    </w:p>
    <w:p>
      <w:pPr>
        <w:pStyle w:val="Heading2"/>
      </w:pPr>
      <w:r>
        <w:t>33. Chapter 13 expansion — Evidence, Provenance &amp; Audit Persistence</w:t>
      </w:r>
    </w:p>
    <w:p>
      <w:r>
        <w:t>Define Evidence versions, custody events, provenance graph, audit events, integrity metadata and historical state without collapsing audit/provenance or treating immutability as truth.</w:t>
      </w:r>
    </w:p>
    <w:p>
      <w:pPr>
        <w:pStyle w:val="Heading2"/>
      </w:pPr>
      <w:r>
        <w:t>34. Chapter 14 expansion — Security, Identity, Secrets &amp; Key-Metadata Persistence Interface</w:t>
      </w:r>
    </w:p>
    <w:p>
      <w:r>
        <w:t>Define persistence interfaces for identity/authz/session/security-event and secret/key references under NCIE-009; never store secrets contrary to upstream policy.</w:t>
      </w:r>
    </w:p>
    <w:p>
      <w:pPr>
        <w:pStyle w:val="Heading2"/>
      </w:pPr>
      <w:r>
        <w:t>35. Chapter 15 expansion — Physical Keys, Constraints &amp; Referential Integrity</w:t>
      </w:r>
    </w:p>
    <w:p>
      <w:r>
        <w:t>Define physical keys, unique/foreign/check constraints, nullability, temporal uniqueness and tombstone/soft-delete rules aligned to NCIE-003 identifiers/cardinality.</w:t>
      </w:r>
    </w:p>
    <w:p>
      <w:pPr>
        <w:pStyle w:val="Heading2"/>
      </w:pPr>
      <w:r>
        <w:t>36. Chapter 16 expansion — Indexing &amp; Query Access Paths</w:t>
      </w:r>
    </w:p>
    <w:p>
      <w:r>
        <w:t>Define indexes/access paths from source-supported workload patterns; optimization cannot bypass authorization/provenance.</w:t>
      </w:r>
    </w:p>
    <w:p>
      <w:pPr>
        <w:pStyle w:val="Heading2"/>
      </w:pPr>
      <w:r>
        <w:t>37. Chapter 17 expansion — Partitioning, Sharding &amp; Distribution</w:t>
      </w:r>
    </w:p>
    <w:p>
      <w:r>
        <w:t>Define partitioning/sharding concepts, keys, rebalance/hotspots/cross-partition behavior and sovereignty implications without invented counts.</w:t>
      </w:r>
    </w:p>
    <w:p>
      <w:pPr>
        <w:pStyle w:val="Heading2"/>
      </w:pPr>
      <w:r>
        <w:t>38. Chapter 18 expansion — Replication, Consistency &amp; Authoritative-Read Semantics</w:t>
      </w:r>
    </w:p>
    <w:p>
      <w:r>
        <w:t>Define replication/consistency, lag, read routing, failover, stale-read indicators and authoritative-read paths by workload.</w:t>
      </w:r>
    </w:p>
    <w:p>
      <w:pPr>
        <w:pStyle w:val="Heading2"/>
      </w:pPr>
      <w:r>
        <w:t>39. Chapter 19 expansion — Caching &amp; Materialized Views</w:t>
      </w:r>
    </w:p>
    <w:p>
      <w:r>
        <w:t>Define caches/materialized views, invalidation/refresh/staleness and sensitive-cache controls; cache never becomes durable/current authority.</w:t>
      </w:r>
    </w:p>
    <w:p>
      <w:pPr>
        <w:pStyle w:val="Heading2"/>
      </w:pPr>
      <w:r>
        <w:t>40. Chapter 20 expansion — Data Classification, Residency &amp; Sovereignty Enforcement</w:t>
      </w:r>
    </w:p>
    <w:p>
      <w:r>
        <w:t>Define classification/residency/sovereignty placement across primary, replica, index, backup and archive copies; unresolved locations/policies remain HR.</w:t>
      </w:r>
    </w:p>
    <w:p>
      <w:pPr>
        <w:pStyle w:val="Heading2"/>
      </w:pPr>
      <w:r>
        <w:t>41. Chapter 21 expansion — Encryption, Tokenization &amp; Protected-Field Storage</w:t>
      </w:r>
    </w:p>
    <w:p>
      <w:r>
        <w:t>Define encryption-at-rest properties, field protection, token references, masking/protected identity and key-separation interface without inventing algorithms.</w:t>
      </w:r>
    </w:p>
    <w:p>
      <w:pPr>
        <w:pStyle w:val="Heading2"/>
      </w:pPr>
      <w:r>
        <w:t>42. Chapter 22 expansion — Retention, Legal Hold, Archival &amp; Disposition Engineering</w:t>
      </w:r>
    </w:p>
    <w:p>
      <w:r>
        <w:t>Define retention/legal-hold/archive/disposition implementation, tombstones, purge verification and metadata retention without inventing periods/hold authority.</w:t>
      </w:r>
    </w:p>
    <w:p>
      <w:pPr>
        <w:pStyle w:val="Heading2"/>
      </w:pPr>
      <w:r>
        <w:t>43. Chapter 23 expansion — Backup, Restore &amp; Point-in-Time Recovery</w:t>
      </w:r>
    </w:p>
    <w:p>
      <w:r>
        <w:t>Define backup/snapshot/PITR/restore validation/isolation/catalog/recovery sequence; restored state must reconcile current authorization and eligibility.</w:t>
      </w:r>
    </w:p>
    <w:p>
      <w:pPr>
        <w:pStyle w:val="Heading2"/>
      </w:pPr>
      <w:r>
        <w:t>44. Chapter 24 expansion — Disaster Recovery &amp; Cross-Site Persistence</w:t>
      </w:r>
    </w:p>
    <w:p>
      <w:r>
        <w:t>Define DR/cross-site replication, promotion/fencing/split-brain prevention/reconciliation/failback while preserving sovereignty/current-state constraints.</w:t>
      </w:r>
    </w:p>
    <w:p>
      <w:pPr>
        <w:pStyle w:val="Heading2"/>
      </w:pPr>
      <w:r>
        <w:t>45. Chapter 25 expansion — Schema Migration &amp; Database Change Management</w:t>
      </w:r>
    </w:p>
    <w:p>
      <w:r>
        <w:t>Define schema migration versioning, expand/contract, compatibility, backfill, rollback and availability risk; semantic changes require upstream governance.</w:t>
      </w:r>
    </w:p>
    <w:p>
      <w:pPr>
        <w:pStyle w:val="Heading2"/>
      </w:pPr>
      <w:r>
        <w:t>46. Chapter 26 expansion — Data Migration, Backfill &amp; Legacy Reconciliation</w:t>
      </w:r>
    </w:p>
    <w:p>
      <w:r>
        <w:t>Define legacy/historical data migration inventory, mapping, transformation, validation, exceptions, reconciliation, provenance and cutover; copy success ≠ semantic acceptance.</w:t>
      </w:r>
    </w:p>
    <w:p>
      <w:pPr>
        <w:pStyle w:val="Heading2"/>
      </w:pPr>
      <w:r>
        <w:t>47. Chapter 27 expansion — Data Lifecycle Reconciliation &amp; Repair</w:t>
      </w:r>
    </w:p>
    <w:p>
      <w:r>
        <w:t>Define reconciliation/repair of missing/duplicate/conflicting/divergent state with repair proposal, approval, audit and post-repair verification; preserve history.</w:t>
      </w:r>
    </w:p>
    <w:p>
      <w:pPr>
        <w:pStyle w:val="Heading2"/>
      </w:pPr>
      <w:r>
        <w:t>48. Chapter 28 expansion — Database Security &amp; Privileged Administration</w:t>
      </w:r>
    </w:p>
    <w:p>
      <w:r>
        <w:t>Define DB/storage privileged identities, elevation, break-glass, row/field-security interfaces, admin audit and separation; DBA ≠ content authority.</w:t>
      </w:r>
    </w:p>
    <w:p>
      <w:pPr>
        <w:pStyle w:val="Heading2"/>
      </w:pPr>
      <w:r>
        <w:t>49. Chapter 29 expansion — Storage Observability, Capacity &amp; Health</w:t>
      </w:r>
    </w:p>
    <w:p>
      <w:r>
        <w:t>Define capacity, latency, errors, saturation, replication lag, backup/index health and growth observability while preserving telemetry ≠ audit/provenance.</w:t>
      </w:r>
    </w:p>
    <w:p>
      <w:pPr>
        <w:pStyle w:val="Heading2"/>
      </w:pPr>
      <w:r>
        <w:t>50. Chapter 30 expansion — Performance Engineering &amp; Query Optimization</w:t>
      </w:r>
    </w:p>
    <w:p>
      <w:r>
        <w:t>Define query/workload profiling, plans, indexing, pruning, caching, batch/stream balance and regression detection without sacrificing correctness/security.</w:t>
      </w:r>
    </w:p>
    <w:p>
      <w:pPr>
        <w:pStyle w:val="Heading2"/>
      </w:pPr>
      <w:r>
        <w:t>51. Chapter 31 expansion — Cost, Tiering &amp; Storage Efficiency</w:t>
      </w:r>
    </w:p>
    <w:p>
      <w:r>
        <w:t>Define hot/warm/cold concepts, compression/dedup/archive/lifecycle/capacity/cost attribution; cost optimization cannot override retention/redundancy/sovereignty.</w:t>
      </w:r>
    </w:p>
    <w:p>
      <w:pPr>
        <w:pStyle w:val="Heading2"/>
      </w:pPr>
      <w:r>
        <w:t>52. Chapter 32 expansion — Database / Storage Testing &amp; Verification</w:t>
      </w:r>
    </w:p>
    <w:p>
      <w:r>
        <w:t>Define schema/constraint, migration, backup/restore, DR, reconciliation, security, residency, performance and corruption test classes; TEST SPECIFIED ≠ TEST EXECUTED.</w:t>
      </w:r>
    </w:p>
    <w:p>
      <w:pPr>
        <w:pStyle w:val="Heading2"/>
      </w:pPr>
      <w:r>
        <w:t>53. Chapter 33 expansion — Human Review Register &amp; Open Persistence Decisions</w:t>
      </w:r>
    </w:p>
    <w:p>
      <w:r>
        <w:t>Build complete HR14 register from unresolved Chapters 1–32 and 34; deduplicate identical upstream questions and preserve precise blocking scope.</w:t>
      </w:r>
    </w:p>
    <w:p>
      <w:pPr>
        <w:pStyle w:val="Heading2"/>
      </w:pPr>
      <w:r>
        <w:t>54. Chapter 34 expansion — Traceability, Acceptance &amp; Downstream Handover</w:t>
      </w:r>
    </w:p>
    <w:p>
      <w:r>
        <w:t>Build traceability to NCIE-001–013, acceptance criteria, skeleton fidelity, HR gate and downstream handover to NCIE-015/016/017 as established.</w:t>
      </w:r>
    </w:p>
    <w:p>
      <w:pPr>
        <w:pStyle w:val="Heading2"/>
      </w:pPr>
      <w:r>
        <w:t>55. Physical-store allocation matrix</w:t>
      </w:r>
    </w:p>
    <w:p>
      <w:r>
        <w:t>Map canonical/logical object classes to physical persistence roles, authority source, security class, history requirement and unresolved technology choice without creating semantic ownership.</w:t>
      </w:r>
    </w:p>
    <w:p>
      <w:pPr>
        <w:pStyle w:val="Heading2"/>
      </w:pPr>
      <w:r>
        <w:t>56. Canonical-to-physical mapping matrix</w:t>
      </w:r>
    </w:p>
    <w:p>
      <w:r>
        <w:t>Map canonical entities/fields/identifiers/relationships to physical structures and migration/version references; all semantic authority remains NCIE-003.</w:t>
      </w:r>
    </w:p>
    <w:p>
      <w:pPr>
        <w:pStyle w:val="Heading2"/>
      </w:pPr>
      <w:r>
        <w:t>57. Authoritative-read matrix</w:t>
      </w:r>
    </w:p>
    <w:p>
      <w:r>
        <w:t>Identify workloads that require authoritative current state versus permitted stale/replica/cache reads, with explicit staleness indicators and reconciliation.</w:t>
      </w:r>
    </w:p>
    <w:p>
      <w:pPr>
        <w:pStyle w:val="Heading2"/>
      </w:pPr>
      <w:r>
        <w:t>58. Residency-copy matrix</w:t>
      </w:r>
    </w:p>
    <w:p>
      <w:r>
        <w:t>Map primary, replica, index, cache, backup, DR and archive copies to classification/residency/sovereignty requirements.</w:t>
      </w:r>
    </w:p>
    <w:p>
      <w:pPr>
        <w:pStyle w:val="Heading2"/>
      </w:pPr>
      <w:r>
        <w:t>59. Retention/disposition matrix</w:t>
      </w:r>
    </w:p>
    <w:p>
      <w:r>
        <w:t>Map logical retention/hold/archive/disposition states to physical implementation obligations without inventing periods.</w:t>
      </w:r>
    </w:p>
    <w:p>
      <w:pPr>
        <w:pStyle w:val="Heading2"/>
      </w:pPr>
      <w:r>
        <w:t>60. Recovery/reconciliation matrix</w:t>
      </w:r>
    </w:p>
    <w:p>
      <w:r>
        <w:t>Map failure/restore/DR/migration scenarios to restore source, current-state reconciliation, authorization/eligibility refresh, integrity checks and acceptance evidence.</w:t>
      </w:r>
    </w:p>
    <w:p>
      <w:pPr>
        <w:pStyle w:val="Heading2"/>
      </w:pPr>
      <w:r>
        <w:t>61. Human Review reconciliation</w:t>
      </w:r>
    </w:p>
    <w:p>
      <w:r>
        <w:t>Programmatically extract every HR14 ID and reconcile Chapter 33: zero duplicate IDs, zero orphan current items, explained classifications and precise Blocking/Non-Blocking scopes.</w:t>
      </w:r>
    </w:p>
    <w:p>
      <w:pPr>
        <w:pStyle w:val="Heading2"/>
      </w:pPr>
      <w:r>
        <w:t>62. Upstream Human Review deduplication</w:t>
      </w:r>
    </w:p>
    <w:p>
      <w:r>
        <w:t>Reference existing NCIE-008–013 Human Review where the institutional/security/domain decision is identical; create HR14 only for distinct persistence-engineering decisions.</w:t>
      </w:r>
    </w:p>
    <w:p>
      <w:pPr>
        <w:pStyle w:val="Heading2"/>
      </w:pPr>
      <w:r>
        <w:t>63. Test-status integrity</w:t>
      </w:r>
    </w:p>
    <w:p>
      <w:r>
        <w:t>For Chapter 32 distinguish TEST SPECIFIED, IMPLEMENTATION EVIDENCE AVAILABLE, TEST EXECUTED, TEST PASSED, RECOVERY/MIGRATION VALIDATED and HUMAN/PRODUCTION ACCEPTANCE.</w:t>
      </w:r>
    </w:p>
    <w:p>
      <w:pPr>
        <w:pStyle w:val="Heading2"/>
      </w:pPr>
      <w:r>
        <w:t>64. Canonical-drift audit</w:t>
      </w:r>
    </w:p>
    <w:p>
      <w:r>
        <w:t>Search for physical schema/index/cache/projection wording that changes NCIE-003 semantics; correct or flag upstream change requirement.</w:t>
      </w:r>
    </w:p>
    <w:p>
      <w:pPr>
        <w:pStyle w:val="Heading2"/>
      </w:pPr>
      <w:r>
        <w:t>65. Current-state audit</w:t>
      </w:r>
    </w:p>
    <w:p>
      <w:r>
        <w:t>Search for replicas/caches/backups/restored copies being treated as authoritative current authorization/eligibility/state without reconciliation; correct it.</w:t>
      </w:r>
    </w:p>
    <w:p>
      <w:pPr>
        <w:pStyle w:val="Heading2"/>
      </w:pPr>
      <w:r>
        <w:t>66. Historical-integrity audit</w:t>
      </w:r>
    </w:p>
    <w:p>
      <w:r>
        <w:t>Verify deletion, retention, archival, migration, repair and restore preserve required Evidence/audit/provenance/Decision-Time history.</w:t>
      </w:r>
    </w:p>
    <w:p>
      <w:pPr>
        <w:pStyle w:val="Heading2"/>
      </w:pPr>
      <w:r>
        <w:t>67. Security/DBA audit</w:t>
      </w:r>
    </w:p>
    <w:p>
      <w:r>
        <w:t>Verify DB administration, encryption, locality and partitioning are never represented as content authority, authorization, residency compliance or security boundaries by themselves.</w:t>
      </w:r>
    </w:p>
    <w:p>
      <w:pPr>
        <w:pStyle w:val="Heading2"/>
      </w:pPr>
      <w:r>
        <w:t>68. Migration audit</w:t>
      </w:r>
    </w:p>
    <w:p>
      <w:r>
        <w:t>Verify technical migration success is not represented as semantic reconciliation/acceptance; preserve exception and provenance handling.</w:t>
      </w:r>
    </w:p>
    <w:p>
      <w:pPr>
        <w:pStyle w:val="Heading2"/>
      </w:pPr>
      <w:r>
        <w:t>69. No fabricated technology audit</w:t>
      </w:r>
    </w:p>
    <w:p>
      <w:r>
        <w:t>Remove unsupported database/search/vector/graph/cache/backup vendor/product selections or convert to Human Review/property-based requirements.</w:t>
      </w:r>
    </w:p>
    <w:p>
      <w:pPr>
        <w:pStyle w:val="Heading2"/>
      </w:pPr>
      <w:r>
        <w:t>70. No fabricated numeric audit</w:t>
      </w:r>
    </w:p>
    <w:p>
      <w:r>
        <w:t>Remove unsupported RPO/RTO, TTL, retention, replica, partition, backup, performance, capacity and lag values.</w:t>
      </w:r>
    </w:p>
    <w:p>
      <w:pPr>
        <w:pStyle w:val="Heading2"/>
      </w:pPr>
      <w:r>
        <w:t>71. No implementation claims</w:t>
      </w:r>
    </w:p>
    <w:p>
      <w:r>
        <w:t>Do not claim stores, migrations, backups, DR, encryption, indexes or recovery controls are implemented/validated/production-ready merely because specified.</w:t>
      </w:r>
    </w:p>
    <w:p>
      <w:pPr>
        <w:pStyle w:val="Heading2"/>
      </w:pPr>
      <w:r>
        <w:t>72. Adversarial review</w:t>
      </w:r>
    </w:p>
    <w:p>
      <w:r>
        <w:t>Review from data architecture, DBA, distributed systems, search/vector/graph, security/privacy, Evidence/provenance, migration/recovery and operations perspectives; correct defects without exposing private chain-of-thought.</w:t>
      </w:r>
    </w:p>
    <w:p>
      <w:pPr>
        <w:pStyle w:val="Heading2"/>
      </w:pPr>
      <w:r>
        <w:t>73. Skeleton fidelity audit</w:t>
      </w:r>
    </w:p>
    <w:p>
      <w:r>
        <w:t>Verify all 34 approved Chapter Purposes, Salient Things to Note, Principal Components, dependencies and Human Review foci are represented and not inverted.</w:t>
      </w:r>
    </w:p>
    <w:p>
      <w:pPr>
        <w:pStyle w:val="Heading2"/>
      </w:pPr>
      <w:r>
        <w:t>74. 34-chapter integrity audit</w:t>
      </w:r>
    </w:p>
    <w:p>
      <w:r>
        <w:t>Programmatically verify exactly 34 sequential chapters, no missing/duplicate/added chapter and no unintended renaming.</w:t>
      </w:r>
    </w:p>
    <w:p>
      <w:pPr>
        <w:pStyle w:val="Heading2"/>
      </w:pPr>
      <w:r>
        <w:t>75. Salient Things to Note audit</w:t>
      </w:r>
    </w:p>
    <w:p>
      <w:r>
        <w:t>Programmatically verify an explicit Salient Things to Note subsection in all 34 chapters.</w:t>
      </w:r>
    </w:p>
    <w:p>
      <w:pPr>
        <w:pStyle w:val="Heading2"/>
      </w:pPr>
      <w:r>
        <w:t>76. Cross-reference audit</w:t>
      </w:r>
    </w:p>
    <w:p>
      <w:r>
        <w:t>Verify NCIE-001–013 versions, chapter references, canonical objects, HR14 IDs and downstream handovers.</w:t>
      </w:r>
    </w:p>
    <w:p>
      <w:pPr>
        <w:pStyle w:val="Heading2"/>
      </w:pPr>
      <w:r>
        <w:t>77. Invariant audit</w:t>
      </w:r>
    </w:p>
    <w:p>
      <w:r>
        <w:t>Verify every approved skeletal database/storage invariant is explicitly preserved and no operative chapter contradicts it.</w:t>
      </w:r>
    </w:p>
    <w:p>
      <w:pPr>
        <w:pStyle w:val="Heading2"/>
      </w:pPr>
      <w:r>
        <w:t>78. Visual/table audit</w:t>
      </w:r>
    </w:p>
    <w:p>
      <w:r>
        <w:t>Render every page and inspect mapping, store-allocation, residency, retention, recovery, Human Review, test and traceability tables for clipping/overlap/readability.</w:t>
      </w:r>
    </w:p>
    <w:p>
      <w:pPr>
        <w:pStyle w:val="Heading2"/>
      </w:pPr>
      <w:r>
        <w:t>79. Document control</w:t>
      </w:r>
    </w:p>
    <w:p>
      <w:r>
        <w:t>Produce NCIE-014 v1.0 IN DEVELOPMENT / FOR HUMAN REVIEW; update cover, governance, revision history, headers/footers, filename and metadata while preserving Skeletal v0.1 as approved expansion architecture.</w:t>
      </w:r>
    </w:p>
    <w:p>
      <w:pPr>
        <w:pStyle w:val="Heading2"/>
      </w:pPr>
      <w:r>
        <w:t>80. Deliverable A</w:t>
      </w:r>
    </w:p>
    <w:p>
      <w:r>
        <w:t>Produce NCIE-014_Database_Storage_Engineering_Specification_v1_0_IN_DEVELOPMENT.docx containing the complete 34-chapter specification.</w:t>
      </w:r>
    </w:p>
    <w:p>
      <w:pPr>
        <w:pStyle w:val="Heading2"/>
      </w:pPr>
      <w:r>
        <w:t>81. Deliverable B</w:t>
      </w:r>
    </w:p>
    <w:p>
      <w:r>
        <w:t>Produce NCIE-014_v1_0_Full_Expansion_Change_Register.docx mapping every skeletal chapter/component/salient note to expanded location, authority basis, Human Review effect and status.</w:t>
      </w:r>
    </w:p>
    <w:p>
      <w:pPr>
        <w:pStyle w:val="Heading2"/>
      </w:pPr>
      <w:r>
        <w:t>82. Deliverable C</w:t>
      </w:r>
    </w:p>
    <w:p>
      <w:r>
        <w:t>Produce NCIE-014_v0_1_to_v1_0_Expansion_Verification_Report.docx covering skeleton fidelity, 34-chapter integrity, salient-note coverage, invariants, Human Review, test status, traceability, document control and visual QA.</w:t>
      </w:r>
    </w:p>
    <w:p>
      <w:pPr>
        <w:pStyle w:val="Heading2"/>
      </w:pPr>
      <w:r>
        <w:t>83. Three-artifact consistency</w:t>
      </w:r>
    </w:p>
    <w:p>
      <w:r>
        <w:t>All three artifacts must agree on title/version/status, 34 chapters, authority chain, HR totals/classifications/blockers, test status, persistence invariants and downstream handover.</w:t>
      </w:r>
    </w:p>
    <w:p>
      <w:pPr>
        <w:pStyle w:val="Heading2"/>
      </w:pPr>
      <w:r>
        <w:t>84. Chat response</w:t>
      </w:r>
    </w:p>
    <w:p>
      <w:r>
        <w:t>Do not paste the full specification. Return concise production summary, HR totals/classifications, blockers, technology decisions left open, test status, integrity results and links to three deliverables.</w:t>
      </w:r>
    </w:p>
    <w:p>
      <w:pPr>
        <w:pStyle w:val="Heading2"/>
      </w:pPr>
      <w:r>
        <w:t>85. Directive integrity gate</w:t>
      </w:r>
    </w:p>
    <w:p>
      <w:r>
        <w:t>Before production mechanically verify expected numbered items = actual items; missing = none; duplicates = none; truncated = none; approved chapter coverage = 34/34.</w:t>
      </w:r>
    </w:p>
    <w:p>
      <w:pPr>
        <w:pStyle w:val="Heading2"/>
      </w:pPr>
      <w:r>
        <w:t>86. Final execution instruction</w:t>
      </w:r>
    </w:p>
    <w:p>
      <w:r>
        <w:t>Proceed only after directive integrity verification. Use the Human-approved NCIE-014 Skeletal v0.1 plus approved NCIE-001–013 as sole substantive basis and preserve unresolved persistence choices for Human Review.</w:t>
      </w:r>
    </w:p>
    <w:p>
      <w:r>
        <w:br w:type="page"/>
      </w:r>
    </w:p>
    <w:p>
      <w:pPr>
        <w:pStyle w:val="Heading1"/>
      </w:pPr>
      <w:r>
        <w:t>Directive Integrity Control</w:t>
      </w:r>
    </w:p>
    <w:p>
      <w:r>
        <w:t>EXPECTED NUMBERED ITEMS = 86</w:t>
        <w:br/>
        <w:t>ACTUAL NUMBERED ITEMS = 86</w:t>
        <w:br/>
        <w:t>MISSING NUMBERS = NONE</w:t>
        <w:br/>
        <w:t>DUPLICATE NUMBERS = NONE</w:t>
        <w:br/>
        <w:t>TRUNCATED ITEMS = NONE</w:t>
        <w:br/>
        <w:t>APPROVED CHAPTER COVERAGE = 34/34</w:t>
      </w:r>
    </w:p>
    <w:p>
      <w:r>
        <w:t>Independently recheck this declaration against the assembled DOCX before Claude production.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DATABASE / STORAGE PRODUCTION INSTRUCTION — HUMAN-PRIMARY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NCIE-014 | CLAUDE FULL-EXPANSION DIRECTIVE | SKELETAL v0.1 → FULL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