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NCIE-014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Database &amp; Storage Engineering Specification — IN DEVELOPMENT / FOR HUMAN REVIEW</w:t>
      </w:r>
    </w:p>
    <w:p>
      <w:pPr>
        <w:spacing w:after="80" w:before="0"/>
      </w:pPr>
      <w:r>
        <w:rPr>
          <w:b/>
          <w:bCs/>
          <w:sz w:val="20"/>
          <w:szCs w:val="20"/>
        </w:rPr>
        <w:t xml:space="preserve">Source-Confirmed Title Verification (§0.1)</w:t>
      </w:r>
    </w:p>
    <w:p>
      <w:pPr>
        <w:spacing w:after="200"/>
      </w:pPr>
      <w:r>
        <w:rPr>
          <w:sz w:val="19"/>
          <w:szCs w:val="19"/>
        </w:rPr>
        <w:t xml:space="preserve">Unlike the NCIE-013 v1.0 edition (which required a pre-approval surgical correction after its original build falsely stated no Master Controlled Register was supplied), the approved NCIE-014 Skeletal v0.1 already carries a source-confirmed title ('NCIE-014 — Database &amp; Storage Engineering Specification') and source-confirmed suite purpose in its own Document Governance block. This was checked against the NCIE Documentation Suite Master Controlled Register v2.0, Section 3, NCIE-014 entry, and found to match exactly (same title wording, same Primary Purpose framing). No title-reconciliation discrepancy exists and no correction was required for this edition.</w:t>
      </w:r>
    </w:p>
    <w:p>
      <w:pPr>
        <w:spacing w:after="200"/>
      </w:pPr>
      <w:r>
        <w:rPr>
          <w:sz w:val="19"/>
          <w:szCs w:val="19"/>
        </w:rPr>
        <w:t xml:space="preserve">Maps each of the 34 approved NCIE-014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34 chapters (directive item 75 hard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persistence boundary; HR focus: acceptance authority.</w:t>
            </w:r>
          </w:p>
        </w:tc>
        <w:tc>
          <w:tcPr>
            <w:tcW w:type="dxa" w:w="2600"/>
            <w:tcMar>
              <w:top w:type="dxa" w:w="60"/>
              <w:left w:type="dxa" w:w="80"/>
              <w:bottom w:type="dxa" w:w="60"/>
              <w:right w:type="dxa" w:w="80"/>
            </w:tcMar>
          </w:tcPr>
          <w:p>
            <w:r>
              <w:rPr>
                <w:b w:val="false"/>
                <w:bCs w:val="false"/>
                <w:sz w:val="17"/>
                <w:szCs w:val="17"/>
              </w:rPr>
              <w:t xml:space="preserve">§1.0-1.3, Table 1 (boundary), Table 2 (Physical-Store Allocation Matrix, item 55), Table 3 (RACI), HR14-1-1.</w:t>
            </w:r>
          </w:p>
        </w:tc>
        <w:tc>
          <w:tcPr>
            <w:tcW w:type="dxa" w:w="2400"/>
            <w:tcMar>
              <w:top w:type="dxa" w:w="60"/>
              <w:left w:type="dxa" w:w="80"/>
              <w:bottom w:type="dxa" w:w="60"/>
              <w:right w:type="dxa" w:w="80"/>
            </w:tcMar>
          </w:tcPr>
          <w:p>
            <w:r>
              <w:rPr>
                <w:b w:val="false"/>
                <w:bCs w:val="false"/>
                <w:sz w:val="17"/>
                <w:szCs w:val="17"/>
              </w:rPr>
              <w:t xml:space="preserve">Production-Ready register; NCIE-003/004/006/009/010/011.</w:t>
            </w:r>
          </w:p>
        </w:tc>
        <w:tc>
          <w:tcPr>
            <w:tcW w:type="dxa" w:w="2400"/>
            <w:tcMar>
              <w:top w:type="dxa" w:w="60"/>
              <w:left w:type="dxa" w:w="80"/>
              <w:bottom w:type="dxa" w:w="60"/>
              <w:right w:type="dxa" w:w="80"/>
            </w:tcMar>
          </w:tcPr>
          <w:p>
            <w:r>
              <w:rPr>
                <w:b w:val="false"/>
                <w:bCs w:val="false"/>
                <w:sz w:val="17"/>
                <w:szCs w:val="17"/>
              </w:rPr>
              <w:t xml:space="preserve">HR14-1-1 confirms NCIE-014 acceptance/sign-off authority,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Persistence engineering doctrine; HR focus: principles/trade-offs.</w:t>
            </w:r>
          </w:p>
        </w:tc>
        <w:tc>
          <w:tcPr>
            <w:tcW w:type="dxa" w:w="2600"/>
            <w:tcMar>
              <w:top w:type="dxa" w:w="60"/>
              <w:left w:type="dxa" w:w="80"/>
              <w:bottom w:type="dxa" w:w="60"/>
              <w:right w:type="dxa" w:w="80"/>
            </w:tcMar>
          </w:tcPr>
          <w:p>
            <w:r>
              <w:rPr>
                <w:b w:val="false"/>
                <w:bCs w:val="false"/>
                <w:sz w:val="17"/>
                <w:szCs w:val="17"/>
              </w:rPr>
              <w:t xml:space="preserve">§2.1-2.3, Table 4 (RACI), HR14-2-1.</w:t>
            </w:r>
          </w:p>
        </w:tc>
        <w:tc>
          <w:tcPr>
            <w:tcW w:type="dxa" w:w="2400"/>
            <w:tcMar>
              <w:top w:type="dxa" w:w="60"/>
              <w:left w:type="dxa" w:w="80"/>
              <w:bottom w:type="dxa" w:w="60"/>
              <w:right w:type="dxa" w:w="80"/>
            </w:tcMar>
          </w:tcPr>
          <w:p>
            <w:r>
              <w:rPr>
                <w:b w:val="false"/>
                <w:bCs w:val="false"/>
                <w:sz w:val="17"/>
                <w:szCs w:val="17"/>
              </w:rPr>
              <w:t xml:space="preserve">NCIE-002/003/009/010.</w:t>
            </w:r>
          </w:p>
        </w:tc>
        <w:tc>
          <w:tcPr>
            <w:tcW w:type="dxa" w:w="2400"/>
            <w:tcMar>
              <w:top w:type="dxa" w:w="60"/>
              <w:left w:type="dxa" w:w="80"/>
              <w:bottom w:type="dxa" w:w="60"/>
              <w:right w:type="dxa" w:w="80"/>
            </w:tcMar>
          </w:tcPr>
          <w:p>
            <w:r>
              <w:rPr>
                <w:b w:val="false"/>
                <w:bCs w:val="false"/>
                <w:sz w:val="17"/>
                <w:szCs w:val="17"/>
              </w:rPr>
              <w:t xml:space="preserve">HR14-2-1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Canonical-to-physical mapping governance; HR focus: naming/mapping conventions.</w:t>
            </w:r>
          </w:p>
        </w:tc>
        <w:tc>
          <w:tcPr>
            <w:tcW w:type="dxa" w:w="2600"/>
            <w:tcMar>
              <w:top w:type="dxa" w:w="60"/>
              <w:left w:type="dxa" w:w="80"/>
              <w:bottom w:type="dxa" w:w="60"/>
              <w:right w:type="dxa" w:w="80"/>
            </w:tcMar>
          </w:tcPr>
          <w:p>
            <w:r>
              <w:rPr>
                <w:b w:val="false"/>
                <w:bCs w:val="false"/>
                <w:sz w:val="17"/>
                <w:szCs w:val="17"/>
              </w:rPr>
              <w:t xml:space="preserve">§3.1-3.3, Table 5 Canonical-to-Physical Mapping Matrix (item 56), Table 6 (RACI), HR14-3-1.</w:t>
            </w:r>
          </w:p>
        </w:tc>
        <w:tc>
          <w:tcPr>
            <w:tcW w:type="dxa" w:w="2400"/>
            <w:tcMar>
              <w:top w:type="dxa" w:w="60"/>
              <w:left w:type="dxa" w:w="80"/>
              <w:bottom w:type="dxa" w:w="60"/>
              <w:right w:type="dxa" w:w="80"/>
            </w:tcMar>
          </w:tcPr>
          <w:p>
            <w:r>
              <w:rPr>
                <w:b w:val="false"/>
                <w:bCs w:val="false"/>
                <w:sz w:val="17"/>
                <w:szCs w:val="17"/>
              </w:rPr>
              <w:t xml:space="preserve">NCIE-003 canonical dictionary/ERDs.</w:t>
            </w:r>
          </w:p>
        </w:tc>
        <w:tc>
          <w:tcPr>
            <w:tcW w:type="dxa" w:w="2400"/>
            <w:tcMar>
              <w:top w:type="dxa" w:w="60"/>
              <w:left w:type="dxa" w:w="80"/>
              <w:bottom w:type="dxa" w:w="60"/>
              <w:right w:type="dxa" w:w="80"/>
            </w:tcMar>
          </w:tcPr>
          <w:p>
            <w:r>
              <w:rPr>
                <w:b w:val="false"/>
                <w:bCs w:val="false"/>
                <w:sz w:val="17"/>
                <w:szCs w:val="17"/>
              </w:rPr>
              <w:t xml:space="preserve">HR14-3-1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Relational/transactional persistence design; HR focus: relational technology/transactions.</w:t>
            </w:r>
          </w:p>
        </w:tc>
        <w:tc>
          <w:tcPr>
            <w:tcW w:type="dxa" w:w="2600"/>
            <w:tcMar>
              <w:top w:type="dxa" w:w="60"/>
              <w:left w:type="dxa" w:w="80"/>
              <w:bottom w:type="dxa" w:w="60"/>
              <w:right w:type="dxa" w:w="80"/>
            </w:tcMar>
          </w:tcPr>
          <w:p>
            <w:r>
              <w:rPr>
                <w:b w:val="false"/>
                <w:bCs w:val="false"/>
                <w:sz w:val="17"/>
                <w:szCs w:val="17"/>
              </w:rPr>
              <w:t xml:space="preserve">§4.1-4.3, Table 7 (RACI), HR14-4-1.</w:t>
            </w:r>
          </w:p>
        </w:tc>
        <w:tc>
          <w:tcPr>
            <w:tcW w:type="dxa" w:w="2400"/>
            <w:tcMar>
              <w:top w:type="dxa" w:w="60"/>
              <w:left w:type="dxa" w:w="80"/>
              <w:bottom w:type="dxa" w:w="60"/>
              <w:right w:type="dxa" w:w="80"/>
            </w:tcMar>
          </w:tcPr>
          <w:p>
            <w:r>
              <w:rPr>
                <w:b w:val="false"/>
                <w:bCs w:val="false"/>
                <w:sz w:val="17"/>
                <w:szCs w:val="17"/>
              </w:rPr>
              <w:t xml:space="preserve">NCIE-003/004.</w:t>
            </w:r>
          </w:p>
        </w:tc>
        <w:tc>
          <w:tcPr>
            <w:tcW w:type="dxa" w:w="2400"/>
            <w:tcMar>
              <w:top w:type="dxa" w:w="60"/>
              <w:left w:type="dxa" w:w="80"/>
              <w:bottom w:type="dxa" w:w="60"/>
              <w:right w:type="dxa" w:w="80"/>
            </w:tcMar>
          </w:tcPr>
          <w:p>
            <w:r>
              <w:rPr>
                <w:b w:val="false"/>
                <w:bCs w:val="false"/>
                <w:sz w:val="17"/>
                <w:szCs w:val="17"/>
              </w:rPr>
              <w:t xml:space="preserve">HR14-4-1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Analytical/columnar persistence design; HR focus: analytical technology/workloads.</w:t>
            </w:r>
          </w:p>
        </w:tc>
        <w:tc>
          <w:tcPr>
            <w:tcW w:type="dxa" w:w="2600"/>
            <w:tcMar>
              <w:top w:type="dxa" w:w="60"/>
              <w:left w:type="dxa" w:w="80"/>
              <w:bottom w:type="dxa" w:w="60"/>
              <w:right w:type="dxa" w:w="80"/>
            </w:tcMar>
          </w:tcPr>
          <w:p>
            <w:r>
              <w:rPr>
                <w:b w:val="false"/>
                <w:bCs w:val="false"/>
                <w:sz w:val="17"/>
                <w:szCs w:val="17"/>
              </w:rPr>
              <w:t xml:space="preserve">§5.1-5.2, Table 8 (RACI), HR14-5-1.</w:t>
            </w:r>
          </w:p>
        </w:tc>
        <w:tc>
          <w:tcPr>
            <w:tcW w:type="dxa" w:w="2400"/>
            <w:tcMar>
              <w:top w:type="dxa" w:w="60"/>
              <w:left w:type="dxa" w:w="80"/>
              <w:bottom w:type="dxa" w:w="60"/>
              <w:right w:type="dxa" w:w="80"/>
            </w:tcMar>
          </w:tcPr>
          <w:p>
            <w:r>
              <w:rPr>
                <w:b w:val="false"/>
                <w:bCs w:val="false"/>
                <w:sz w:val="17"/>
                <w:szCs w:val="17"/>
              </w:rPr>
              <w:t xml:space="preserve">NCIE-002/003/013.</w:t>
            </w:r>
          </w:p>
        </w:tc>
        <w:tc>
          <w:tcPr>
            <w:tcW w:type="dxa" w:w="2400"/>
            <w:tcMar>
              <w:top w:type="dxa" w:w="60"/>
              <w:left w:type="dxa" w:w="80"/>
              <w:bottom w:type="dxa" w:w="60"/>
              <w:right w:type="dxa" w:w="80"/>
            </w:tcMar>
          </w:tcPr>
          <w:p>
            <w:r>
              <w:rPr>
                <w:b w:val="false"/>
                <w:bCs w:val="false"/>
                <w:sz w:val="17"/>
                <w:szCs w:val="17"/>
              </w:rPr>
              <w:t xml:space="preserve">HR14-5-1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Object/blob storage design; HR focus: object-store technology/sensitive classes.</w:t>
            </w:r>
          </w:p>
        </w:tc>
        <w:tc>
          <w:tcPr>
            <w:tcW w:type="dxa" w:w="2600"/>
            <w:tcMar>
              <w:top w:type="dxa" w:w="60"/>
              <w:left w:type="dxa" w:w="80"/>
              <w:bottom w:type="dxa" w:w="60"/>
              <w:right w:type="dxa" w:w="80"/>
            </w:tcMar>
          </w:tcPr>
          <w:p>
            <w:r>
              <w:rPr>
                <w:b w:val="false"/>
                <w:bCs w:val="false"/>
                <w:sz w:val="17"/>
                <w:szCs w:val="17"/>
              </w:rPr>
              <w:t xml:space="preserve">§6.1-6.2, Table 9 (RACI), HR14-6-1.</w:t>
            </w:r>
          </w:p>
        </w:tc>
        <w:tc>
          <w:tcPr>
            <w:tcW w:type="dxa" w:w="2400"/>
            <w:tcMar>
              <w:top w:type="dxa" w:w="60"/>
              <w:left w:type="dxa" w:w="80"/>
              <w:bottom w:type="dxa" w:w="60"/>
              <w:right w:type="dxa" w:w="80"/>
            </w:tcMar>
          </w:tcPr>
          <w:p>
            <w:r>
              <w:rPr>
                <w:b w:val="false"/>
                <w:bCs w:val="false"/>
                <w:sz w:val="17"/>
                <w:szCs w:val="17"/>
              </w:rPr>
              <w:t xml:space="preserve">NCIE-003/009/010.</w:t>
            </w:r>
          </w:p>
        </w:tc>
        <w:tc>
          <w:tcPr>
            <w:tcW w:type="dxa" w:w="2400"/>
            <w:tcMar>
              <w:top w:type="dxa" w:w="60"/>
              <w:left w:type="dxa" w:w="80"/>
              <w:bottom w:type="dxa" w:w="60"/>
              <w:right w:type="dxa" w:w="80"/>
            </w:tcMar>
          </w:tcPr>
          <w:p>
            <w:r>
              <w:rPr>
                <w:b w:val="false"/>
                <w:bCs w:val="false"/>
                <w:sz w:val="17"/>
                <w:szCs w:val="17"/>
              </w:rPr>
              <w:t xml:space="preserve">HR14-6-1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Search index engineering; HR focus: search technology/freshness.</w:t>
            </w:r>
          </w:p>
        </w:tc>
        <w:tc>
          <w:tcPr>
            <w:tcW w:type="dxa" w:w="2600"/>
            <w:tcMar>
              <w:top w:type="dxa" w:w="60"/>
              <w:left w:type="dxa" w:w="80"/>
              <w:bottom w:type="dxa" w:w="60"/>
              <w:right w:type="dxa" w:w="80"/>
            </w:tcMar>
          </w:tcPr>
          <w:p>
            <w:r>
              <w:rPr>
                <w:b w:val="false"/>
                <w:bCs w:val="false"/>
                <w:sz w:val="17"/>
                <w:szCs w:val="17"/>
              </w:rPr>
              <w:t xml:space="preserve">§7.1-7.2, Table 10 (RACI), HR14-7-1.</w:t>
            </w:r>
          </w:p>
        </w:tc>
        <w:tc>
          <w:tcPr>
            <w:tcW w:type="dxa" w:w="2400"/>
            <w:tcMar>
              <w:top w:type="dxa" w:w="60"/>
              <w:left w:type="dxa" w:w="80"/>
              <w:bottom w:type="dxa" w:w="60"/>
              <w:right w:type="dxa" w:w="80"/>
            </w:tcMar>
          </w:tcPr>
          <w:p>
            <w:r>
              <w:rPr>
                <w:b w:val="false"/>
                <w:bCs w:val="false"/>
                <w:sz w:val="17"/>
                <w:szCs w:val="17"/>
              </w:rPr>
              <w:t xml:space="preserve">NCIE-006/009/010.</w:t>
            </w:r>
          </w:p>
        </w:tc>
        <w:tc>
          <w:tcPr>
            <w:tcW w:type="dxa" w:w="2400"/>
            <w:tcMar>
              <w:top w:type="dxa" w:w="60"/>
              <w:left w:type="dxa" w:w="80"/>
              <w:bottom w:type="dxa" w:w="60"/>
              <w:right w:type="dxa" w:w="80"/>
            </w:tcMar>
          </w:tcPr>
          <w:p>
            <w:r>
              <w:rPr>
                <w:b w:val="false"/>
                <w:bCs w:val="false"/>
                <w:sz w:val="17"/>
                <w:szCs w:val="17"/>
              </w:rPr>
              <w:t xml:space="preserve">HR14-7-1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Vector index/embedding persistence; HR focus: vector technology/lifecycle/sensitive-data policy.</w:t>
            </w:r>
          </w:p>
        </w:tc>
        <w:tc>
          <w:tcPr>
            <w:tcW w:type="dxa" w:w="2600"/>
            <w:tcMar>
              <w:top w:type="dxa" w:w="60"/>
              <w:left w:type="dxa" w:w="80"/>
              <w:bottom w:type="dxa" w:w="60"/>
              <w:right w:type="dxa" w:w="80"/>
            </w:tcMar>
          </w:tcPr>
          <w:p>
            <w:r>
              <w:rPr>
                <w:b w:val="false"/>
                <w:bCs w:val="false"/>
                <w:sz w:val="17"/>
                <w:szCs w:val="17"/>
              </w:rPr>
              <w:t xml:space="preserve">§8.1-8.2, Table 11 (RACI), HR14-8-1.</w:t>
            </w:r>
          </w:p>
        </w:tc>
        <w:tc>
          <w:tcPr>
            <w:tcW w:type="dxa" w:w="2400"/>
            <w:tcMar>
              <w:top w:type="dxa" w:w="60"/>
              <w:left w:type="dxa" w:w="80"/>
              <w:bottom w:type="dxa" w:w="60"/>
              <w:right w:type="dxa" w:w="80"/>
            </w:tcMar>
          </w:tcPr>
          <w:p>
            <w:r>
              <w:rPr>
                <w:b w:val="false"/>
                <w:bCs w:val="false"/>
                <w:sz w:val="17"/>
                <w:szCs w:val="17"/>
              </w:rPr>
              <w:t xml:space="preserve">NCIE-006/009/010.</w:t>
            </w:r>
          </w:p>
        </w:tc>
        <w:tc>
          <w:tcPr>
            <w:tcW w:type="dxa" w:w="2400"/>
            <w:tcMar>
              <w:top w:type="dxa" w:w="60"/>
              <w:left w:type="dxa" w:w="80"/>
              <w:bottom w:type="dxa" w:w="60"/>
              <w:right w:type="dxa" w:w="80"/>
            </w:tcMar>
          </w:tcPr>
          <w:p>
            <w:r>
              <w:rPr>
                <w:b w:val="false"/>
                <w:bCs w:val="false"/>
                <w:sz w:val="17"/>
                <w:szCs w:val="17"/>
              </w:rPr>
              <w:t xml:space="preserve">HR14-8-1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Graph persistence &amp; relationship projections; HR focus: graph technology/projection ownership.</w:t>
            </w:r>
          </w:p>
        </w:tc>
        <w:tc>
          <w:tcPr>
            <w:tcW w:type="dxa" w:w="2600"/>
            <w:tcMar>
              <w:top w:type="dxa" w:w="60"/>
              <w:left w:type="dxa" w:w="80"/>
              <w:bottom w:type="dxa" w:w="60"/>
              <w:right w:type="dxa" w:w="80"/>
            </w:tcMar>
          </w:tcPr>
          <w:p>
            <w:r>
              <w:rPr>
                <w:b w:val="false"/>
                <w:bCs w:val="false"/>
                <w:sz w:val="17"/>
                <w:szCs w:val="17"/>
              </w:rPr>
              <w:t xml:space="preserve">§9.1-9.2, Table 12 (RACI), HR14-9-1.</w:t>
            </w:r>
          </w:p>
        </w:tc>
        <w:tc>
          <w:tcPr>
            <w:tcW w:type="dxa" w:w="2400"/>
            <w:tcMar>
              <w:top w:type="dxa" w:w="60"/>
              <w:left w:type="dxa" w:w="80"/>
              <w:bottom w:type="dxa" w:w="60"/>
              <w:right w:type="dxa" w:w="80"/>
            </w:tcMar>
          </w:tcPr>
          <w:p>
            <w:r>
              <w:rPr>
                <w:b w:val="false"/>
                <w:bCs w:val="false"/>
                <w:sz w:val="17"/>
                <w:szCs w:val="17"/>
              </w:rPr>
              <w:t xml:space="preserve">NCIE-003/010.</w:t>
            </w:r>
          </w:p>
        </w:tc>
        <w:tc>
          <w:tcPr>
            <w:tcW w:type="dxa" w:w="2400"/>
            <w:tcMar>
              <w:top w:type="dxa" w:w="60"/>
              <w:left w:type="dxa" w:w="80"/>
              <w:bottom w:type="dxa" w:w="60"/>
              <w:right w:type="dxa" w:w="80"/>
            </w:tcMar>
          </w:tcPr>
          <w:p>
            <w:r>
              <w:rPr>
                <w:b w:val="false"/>
                <w:bCs w:val="false"/>
                <w:sz w:val="17"/>
                <w:szCs w:val="17"/>
              </w:rPr>
              <w:t xml:space="preserve">HR14-9-1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Time-series &amp; metrics persistence; HR focus: time-series technology/retention/rollups.</w:t>
            </w:r>
          </w:p>
        </w:tc>
        <w:tc>
          <w:tcPr>
            <w:tcW w:type="dxa" w:w="2600"/>
            <w:tcMar>
              <w:top w:type="dxa" w:w="60"/>
              <w:left w:type="dxa" w:w="80"/>
              <w:bottom w:type="dxa" w:w="60"/>
              <w:right w:type="dxa" w:w="80"/>
            </w:tcMar>
          </w:tcPr>
          <w:p>
            <w:r>
              <w:rPr>
                <w:b w:val="false"/>
                <w:bCs w:val="false"/>
                <w:sz w:val="17"/>
                <w:szCs w:val="17"/>
              </w:rPr>
              <w:t xml:space="preserve">§10.1-10.2, Table 13 (RACI), HR14-10-1.</w:t>
            </w:r>
          </w:p>
        </w:tc>
        <w:tc>
          <w:tcPr>
            <w:tcW w:type="dxa" w:w="2400"/>
            <w:tcMar>
              <w:top w:type="dxa" w:w="60"/>
              <w:left w:type="dxa" w:w="80"/>
              <w:bottom w:type="dxa" w:w="60"/>
              <w:right w:type="dxa" w:w="80"/>
            </w:tcMar>
          </w:tcPr>
          <w:p>
            <w:r>
              <w:rPr>
                <w:b w:val="false"/>
                <w:bCs w:val="false"/>
                <w:sz w:val="17"/>
                <w:szCs w:val="17"/>
              </w:rPr>
              <w:t xml:space="preserve">NCIE-003/004/013.</w:t>
            </w:r>
          </w:p>
        </w:tc>
        <w:tc>
          <w:tcPr>
            <w:tcW w:type="dxa" w:w="2400"/>
            <w:tcMar>
              <w:top w:type="dxa" w:w="60"/>
              <w:left w:type="dxa" w:w="80"/>
              <w:bottom w:type="dxa" w:w="60"/>
              <w:right w:type="dxa" w:w="80"/>
            </w:tcMar>
          </w:tcPr>
          <w:p>
            <w:r>
              <w:rPr>
                <w:b w:val="false"/>
                <w:bCs w:val="false"/>
                <w:sz w:val="17"/>
                <w:szCs w:val="17"/>
              </w:rPr>
              <w:t xml:space="preserve">HR14-10-1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Agent/Model/Tool/VPF registry persistence; HR focus: physical store choices/history.</w:t>
            </w:r>
          </w:p>
        </w:tc>
        <w:tc>
          <w:tcPr>
            <w:tcW w:type="dxa" w:w="2600"/>
            <w:tcMar>
              <w:top w:type="dxa" w:w="60"/>
              <w:left w:type="dxa" w:w="80"/>
              <w:bottom w:type="dxa" w:w="60"/>
              <w:right w:type="dxa" w:w="80"/>
            </w:tcMar>
          </w:tcPr>
          <w:p>
            <w:r>
              <w:rPr>
                <w:b w:val="false"/>
                <w:bCs w:val="false"/>
                <w:sz w:val="17"/>
                <w:szCs w:val="17"/>
              </w:rPr>
              <w:t xml:space="preserve">§11.1-11.2, Table 14 (RACI), HR14-11-1.</w:t>
            </w:r>
          </w:p>
        </w:tc>
        <w:tc>
          <w:tcPr>
            <w:tcW w:type="dxa" w:w="2400"/>
            <w:tcMar>
              <w:top w:type="dxa" w:w="60"/>
              <w:left w:type="dxa" w:w="80"/>
              <w:bottom w:type="dxa" w:w="60"/>
              <w:right w:type="dxa" w:w="80"/>
            </w:tcMar>
          </w:tcPr>
          <w:p>
            <w:r>
              <w:rPr>
                <w:b w:val="false"/>
                <w:bCs w:val="false"/>
                <w:sz w:val="17"/>
                <w:szCs w:val="17"/>
              </w:rPr>
              <w:t xml:space="preserve">NCIE-003/004/007/009.</w:t>
            </w:r>
          </w:p>
        </w:tc>
        <w:tc>
          <w:tcPr>
            <w:tcW w:type="dxa" w:w="2400"/>
            <w:tcMar>
              <w:top w:type="dxa" w:w="60"/>
              <w:left w:type="dxa" w:w="80"/>
              <w:bottom w:type="dxa" w:w="60"/>
              <w:right w:type="dxa" w:w="80"/>
            </w:tcMar>
          </w:tcPr>
          <w:p>
            <w:r>
              <w:rPr>
                <w:b w:val="false"/>
                <w:bCs w:val="false"/>
                <w:sz w:val="17"/>
                <w:szCs w:val="17"/>
              </w:rPr>
              <w:t xml:space="preserve">HR14-11-1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Memory &amp; Context persistence; HR focus: store allocation/retention/ephemeral policy.</w:t>
            </w:r>
          </w:p>
        </w:tc>
        <w:tc>
          <w:tcPr>
            <w:tcW w:type="dxa" w:w="2600"/>
            <w:tcMar>
              <w:top w:type="dxa" w:w="60"/>
              <w:left w:type="dxa" w:w="80"/>
              <w:bottom w:type="dxa" w:w="60"/>
              <w:right w:type="dxa" w:w="80"/>
            </w:tcMar>
          </w:tcPr>
          <w:p>
            <w:r>
              <w:rPr>
                <w:b w:val="false"/>
                <w:bCs w:val="false"/>
                <w:sz w:val="17"/>
                <w:szCs w:val="17"/>
              </w:rPr>
              <w:t xml:space="preserve">§12.1-12.2, Table 15 (RACI), HR14-12-1.</w:t>
            </w:r>
          </w:p>
        </w:tc>
        <w:tc>
          <w:tcPr>
            <w:tcW w:type="dxa" w:w="2400"/>
            <w:tcMar>
              <w:top w:type="dxa" w:w="60"/>
              <w:left w:type="dxa" w:w="80"/>
              <w:bottom w:type="dxa" w:w="60"/>
              <w:right w:type="dxa" w:w="80"/>
            </w:tcMar>
          </w:tcPr>
          <w:p>
            <w:r>
              <w:rPr>
                <w:b w:val="false"/>
                <w:bCs w:val="false"/>
                <w:sz w:val="17"/>
                <w:szCs w:val="17"/>
              </w:rPr>
              <w:t xml:space="preserve">NCIE-006/009.</w:t>
            </w:r>
          </w:p>
        </w:tc>
        <w:tc>
          <w:tcPr>
            <w:tcW w:type="dxa" w:w="2400"/>
            <w:tcMar>
              <w:top w:type="dxa" w:w="60"/>
              <w:left w:type="dxa" w:w="80"/>
              <w:bottom w:type="dxa" w:w="60"/>
              <w:right w:type="dxa" w:w="80"/>
            </w:tcMar>
          </w:tcPr>
          <w:p>
            <w:r>
              <w:rPr>
                <w:b w:val="false"/>
                <w:bCs w:val="false"/>
                <w:sz w:val="17"/>
                <w:szCs w:val="17"/>
              </w:rPr>
              <w:t xml:space="preserve">HR14-12-1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Evidence, provenance &amp; audit persistence; HR focus: storage classes/assurance.</w:t>
            </w:r>
          </w:p>
        </w:tc>
        <w:tc>
          <w:tcPr>
            <w:tcW w:type="dxa" w:w="2600"/>
            <w:tcMar>
              <w:top w:type="dxa" w:w="60"/>
              <w:left w:type="dxa" w:w="80"/>
              <w:bottom w:type="dxa" w:w="60"/>
              <w:right w:type="dxa" w:w="80"/>
            </w:tcMar>
          </w:tcPr>
          <w:p>
            <w:r>
              <w:rPr>
                <w:b w:val="false"/>
                <w:bCs w:val="false"/>
                <w:sz w:val="17"/>
                <w:szCs w:val="17"/>
              </w:rPr>
              <w:t xml:space="preserve">§13.1-13.2, Table 16 (RACI), HR14-13-1.</w:t>
            </w:r>
          </w:p>
        </w:tc>
        <w:tc>
          <w:tcPr>
            <w:tcW w:type="dxa" w:w="2400"/>
            <w:tcMar>
              <w:top w:type="dxa" w:w="60"/>
              <w:left w:type="dxa" w:w="80"/>
              <w:bottom w:type="dxa" w:w="60"/>
              <w:right w:type="dxa" w:w="80"/>
            </w:tcMar>
          </w:tcPr>
          <w:p>
            <w:r>
              <w:rPr>
                <w:b w:val="false"/>
                <w:bCs w:val="false"/>
                <w:sz w:val="17"/>
                <w:szCs w:val="17"/>
              </w:rPr>
              <w:t xml:space="preserve">NCIE-009/010.</w:t>
            </w:r>
          </w:p>
        </w:tc>
        <w:tc>
          <w:tcPr>
            <w:tcW w:type="dxa" w:w="2400"/>
            <w:tcMar>
              <w:top w:type="dxa" w:w="60"/>
              <w:left w:type="dxa" w:w="80"/>
              <w:bottom w:type="dxa" w:w="60"/>
              <w:right w:type="dxa" w:w="80"/>
            </w:tcMar>
          </w:tcPr>
          <w:p>
            <w:r>
              <w:rPr>
                <w:b w:val="false"/>
                <w:bCs w:val="false"/>
                <w:sz w:val="17"/>
                <w:szCs w:val="17"/>
              </w:rPr>
              <w:t xml:space="preserve">HR14-13-1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Security/identity/secrets/key-metadata persistence interface; HR focus: which security records reside where.</w:t>
            </w:r>
          </w:p>
        </w:tc>
        <w:tc>
          <w:tcPr>
            <w:tcW w:type="dxa" w:w="2600"/>
            <w:tcMar>
              <w:top w:type="dxa" w:w="60"/>
              <w:left w:type="dxa" w:w="80"/>
              <w:bottom w:type="dxa" w:w="60"/>
              <w:right w:type="dxa" w:w="80"/>
            </w:tcMar>
          </w:tcPr>
          <w:p>
            <w:r>
              <w:rPr>
                <w:b w:val="false"/>
                <w:bCs w:val="false"/>
                <w:sz w:val="17"/>
                <w:szCs w:val="17"/>
              </w:rPr>
              <w:t xml:space="preserve">§14.1-14.2, Table 17 (RACI), HR14-14-1.</w:t>
            </w:r>
          </w:p>
        </w:tc>
        <w:tc>
          <w:tcPr>
            <w:tcW w:type="dxa" w:w="2400"/>
            <w:tcMar>
              <w:top w:type="dxa" w:w="60"/>
              <w:left w:type="dxa" w:w="80"/>
              <w:bottom w:type="dxa" w:w="60"/>
              <w:right w:type="dxa" w:w="80"/>
            </w:tcMar>
          </w:tcPr>
          <w:p>
            <w:r>
              <w:rPr>
                <w:b w:val="false"/>
                <w:bCs w:val="false"/>
                <w:sz w:val="17"/>
                <w:szCs w:val="17"/>
              </w:rPr>
              <w:t xml:space="preserve">NCIE-009 Ch.3-12.</w:t>
            </w:r>
          </w:p>
        </w:tc>
        <w:tc>
          <w:tcPr>
            <w:tcW w:type="dxa" w:w="2400"/>
            <w:tcMar>
              <w:top w:type="dxa" w:w="60"/>
              <w:left w:type="dxa" w:w="80"/>
              <w:bottom w:type="dxa" w:w="60"/>
              <w:right w:type="dxa" w:w="80"/>
            </w:tcMar>
          </w:tcPr>
          <w:p>
            <w:r>
              <w:rPr>
                <w:b w:val="false"/>
                <w:bCs w:val="false"/>
                <w:sz w:val="17"/>
                <w:szCs w:val="17"/>
              </w:rPr>
              <w:t xml:space="preserve">HR14-14-1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Physical keys, constraints &amp; referential integrity; HR focus: constraint strictness.</w:t>
            </w:r>
          </w:p>
        </w:tc>
        <w:tc>
          <w:tcPr>
            <w:tcW w:type="dxa" w:w="2600"/>
            <w:tcMar>
              <w:top w:type="dxa" w:w="60"/>
              <w:left w:type="dxa" w:w="80"/>
              <w:bottom w:type="dxa" w:w="60"/>
              <w:right w:type="dxa" w:w="80"/>
            </w:tcMar>
          </w:tcPr>
          <w:p>
            <w:r>
              <w:rPr>
                <w:b w:val="false"/>
                <w:bCs w:val="false"/>
                <w:sz w:val="17"/>
                <w:szCs w:val="17"/>
              </w:rPr>
              <w:t xml:space="preserve">§15.1-15.2, Table 18 (RACI), HR14-15-1.</w:t>
            </w:r>
          </w:p>
        </w:tc>
        <w:tc>
          <w:tcPr>
            <w:tcW w:type="dxa" w:w="2400"/>
            <w:tcMar>
              <w:top w:type="dxa" w:w="60"/>
              <w:left w:type="dxa" w:w="80"/>
              <w:bottom w:type="dxa" w:w="60"/>
              <w:right w:type="dxa" w:w="80"/>
            </w:tcMar>
          </w:tcPr>
          <w:p>
            <w:r>
              <w:rPr>
                <w:b w:val="false"/>
                <w:bCs w:val="false"/>
                <w:sz w:val="17"/>
                <w:szCs w:val="17"/>
              </w:rPr>
              <w:t xml:space="preserve">NCIE-003 identifiers/cardinality.</w:t>
            </w:r>
          </w:p>
        </w:tc>
        <w:tc>
          <w:tcPr>
            <w:tcW w:type="dxa" w:w="2400"/>
            <w:tcMar>
              <w:top w:type="dxa" w:w="60"/>
              <w:left w:type="dxa" w:w="80"/>
              <w:bottom w:type="dxa" w:w="60"/>
              <w:right w:type="dxa" w:w="80"/>
            </w:tcMar>
          </w:tcPr>
          <w:p>
            <w:r>
              <w:rPr>
                <w:b w:val="false"/>
                <w:bCs w:val="false"/>
                <w:sz w:val="17"/>
                <w:szCs w:val="17"/>
              </w:rPr>
              <w:t xml:space="preserve">HR14-15-1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Indexing &amp; query access paths; HR focus: critical query/workload priorities.</w:t>
            </w:r>
          </w:p>
        </w:tc>
        <w:tc>
          <w:tcPr>
            <w:tcW w:type="dxa" w:w="2600"/>
            <w:tcMar>
              <w:top w:type="dxa" w:w="60"/>
              <w:left w:type="dxa" w:w="80"/>
              <w:bottom w:type="dxa" w:w="60"/>
              <w:right w:type="dxa" w:w="80"/>
            </w:tcMar>
          </w:tcPr>
          <w:p>
            <w:r>
              <w:rPr>
                <w:b w:val="false"/>
                <w:bCs w:val="false"/>
                <w:sz w:val="17"/>
                <w:szCs w:val="17"/>
              </w:rPr>
              <w:t xml:space="preserve">§16.1-16.2, Table 19 (RACI), HR14-16-1.</w:t>
            </w:r>
          </w:p>
        </w:tc>
        <w:tc>
          <w:tcPr>
            <w:tcW w:type="dxa" w:w="2400"/>
            <w:tcMar>
              <w:top w:type="dxa" w:w="60"/>
              <w:left w:type="dxa" w:w="80"/>
              <w:bottom w:type="dxa" w:w="60"/>
              <w:right w:type="dxa" w:w="80"/>
            </w:tcMar>
          </w:tcPr>
          <w:p>
            <w:r>
              <w:rPr>
                <w:b w:val="false"/>
                <w:bCs w:val="false"/>
                <w:sz w:val="17"/>
                <w:szCs w:val="17"/>
              </w:rPr>
              <w:t xml:space="preserve">NCIE-001/003/013.</w:t>
            </w:r>
          </w:p>
        </w:tc>
        <w:tc>
          <w:tcPr>
            <w:tcW w:type="dxa" w:w="2400"/>
            <w:tcMar>
              <w:top w:type="dxa" w:w="60"/>
              <w:left w:type="dxa" w:w="80"/>
              <w:bottom w:type="dxa" w:w="60"/>
              <w:right w:type="dxa" w:w="80"/>
            </w:tcMar>
          </w:tcPr>
          <w:p>
            <w:r>
              <w:rPr>
                <w:b w:val="false"/>
                <w:bCs w:val="false"/>
                <w:sz w:val="17"/>
                <w:szCs w:val="17"/>
              </w:rPr>
              <w:t xml:space="preserve">HR14-16-1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Partitioning, sharding &amp; distribution; HR focus: partition/shard criteria/sovereignty.</w:t>
            </w:r>
          </w:p>
        </w:tc>
        <w:tc>
          <w:tcPr>
            <w:tcW w:type="dxa" w:w="2600"/>
            <w:tcMar>
              <w:top w:type="dxa" w:w="60"/>
              <w:left w:type="dxa" w:w="80"/>
              <w:bottom w:type="dxa" w:w="60"/>
              <w:right w:type="dxa" w:w="80"/>
            </w:tcMar>
          </w:tcPr>
          <w:p>
            <w:r>
              <w:rPr>
                <w:b w:val="false"/>
                <w:bCs w:val="false"/>
                <w:sz w:val="17"/>
                <w:szCs w:val="17"/>
              </w:rPr>
              <w:t xml:space="preserve">§17.1-17.2, Table 20 (RACI), HR14-17-1.</w:t>
            </w:r>
          </w:p>
        </w:tc>
        <w:tc>
          <w:tcPr>
            <w:tcW w:type="dxa" w:w="2400"/>
            <w:tcMar>
              <w:top w:type="dxa" w:w="60"/>
              <w:left w:type="dxa" w:w="80"/>
              <w:bottom w:type="dxa" w:w="60"/>
              <w:right w:type="dxa" w:w="80"/>
            </w:tcMar>
          </w:tcPr>
          <w:p>
            <w:r>
              <w:rPr>
                <w:b w:val="false"/>
                <w:bCs w:val="false"/>
                <w:sz w:val="17"/>
                <w:szCs w:val="17"/>
              </w:rPr>
              <w:t xml:space="preserve">NCIE-002/003/009.</w:t>
            </w:r>
          </w:p>
        </w:tc>
        <w:tc>
          <w:tcPr>
            <w:tcW w:type="dxa" w:w="2400"/>
            <w:tcMar>
              <w:top w:type="dxa" w:w="60"/>
              <w:left w:type="dxa" w:w="80"/>
              <w:bottom w:type="dxa" w:w="60"/>
              <w:right w:type="dxa" w:w="80"/>
            </w:tcMar>
          </w:tcPr>
          <w:p>
            <w:r>
              <w:rPr>
                <w:b w:val="false"/>
                <w:bCs w:val="false"/>
                <w:sz w:val="17"/>
                <w:szCs w:val="17"/>
              </w:rPr>
              <w:t xml:space="preserve">HR14-17-1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Replication, consistency &amp; authoritative-read semantics; HR focus: consistency by workload.</w:t>
            </w:r>
          </w:p>
        </w:tc>
        <w:tc>
          <w:tcPr>
            <w:tcW w:type="dxa" w:w="2600"/>
            <w:tcMar>
              <w:top w:type="dxa" w:w="60"/>
              <w:left w:type="dxa" w:w="80"/>
              <w:bottom w:type="dxa" w:w="60"/>
              <w:right w:type="dxa" w:w="80"/>
            </w:tcMar>
          </w:tcPr>
          <w:p>
            <w:r>
              <w:rPr>
                <w:b w:val="false"/>
                <w:bCs w:val="false"/>
                <w:sz w:val="17"/>
                <w:szCs w:val="17"/>
              </w:rPr>
              <w:t xml:space="preserve">§18.1-18.3, Table 21 Authoritative-Read Matrix (item 57), Table 22 (RACI), HR14-18-1.</w:t>
            </w:r>
          </w:p>
        </w:tc>
        <w:tc>
          <w:tcPr>
            <w:tcW w:type="dxa" w:w="2400"/>
            <w:tcMar>
              <w:top w:type="dxa" w:w="60"/>
              <w:left w:type="dxa" w:w="80"/>
              <w:bottom w:type="dxa" w:w="60"/>
              <w:right w:type="dxa" w:w="80"/>
            </w:tcMar>
          </w:tcPr>
          <w:p>
            <w:r>
              <w:rPr>
                <w:b w:val="false"/>
                <w:bCs w:val="false"/>
                <w:sz w:val="17"/>
                <w:szCs w:val="17"/>
              </w:rPr>
              <w:t xml:space="preserve">NCIE-006/009/011.</w:t>
            </w:r>
          </w:p>
        </w:tc>
        <w:tc>
          <w:tcPr>
            <w:tcW w:type="dxa" w:w="2400"/>
            <w:tcMar>
              <w:top w:type="dxa" w:w="60"/>
              <w:left w:type="dxa" w:w="80"/>
              <w:bottom w:type="dxa" w:w="60"/>
              <w:right w:type="dxa" w:w="80"/>
            </w:tcMar>
          </w:tcPr>
          <w:p>
            <w:r>
              <w:rPr>
                <w:b w:val="false"/>
                <w:bCs w:val="false"/>
                <w:sz w:val="17"/>
                <w:szCs w:val="17"/>
              </w:rPr>
              <w:t xml:space="preserve">HR14-18-1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Caching &amp; materialized views; HR focus: cacheable classes/invalidation.</w:t>
            </w:r>
          </w:p>
        </w:tc>
        <w:tc>
          <w:tcPr>
            <w:tcW w:type="dxa" w:w="2600"/>
            <w:tcMar>
              <w:top w:type="dxa" w:w="60"/>
              <w:left w:type="dxa" w:w="80"/>
              <w:bottom w:type="dxa" w:w="60"/>
              <w:right w:type="dxa" w:w="80"/>
            </w:tcMar>
          </w:tcPr>
          <w:p>
            <w:r>
              <w:rPr>
                <w:b w:val="false"/>
                <w:bCs w:val="false"/>
                <w:sz w:val="17"/>
                <w:szCs w:val="17"/>
              </w:rPr>
              <w:t xml:space="preserve">§19.1-19.2, Table 23 (RACI), HR14-19-1.</w:t>
            </w:r>
          </w:p>
        </w:tc>
        <w:tc>
          <w:tcPr>
            <w:tcW w:type="dxa" w:w="2400"/>
            <w:tcMar>
              <w:top w:type="dxa" w:w="60"/>
              <w:left w:type="dxa" w:w="80"/>
              <w:bottom w:type="dxa" w:w="60"/>
              <w:right w:type="dxa" w:w="80"/>
            </w:tcMar>
          </w:tcPr>
          <w:p>
            <w:r>
              <w:rPr>
                <w:b w:val="false"/>
                <w:bCs w:val="false"/>
                <w:sz w:val="17"/>
                <w:szCs w:val="17"/>
              </w:rPr>
              <w:t xml:space="preserve">NCIE-006/009/011.</w:t>
            </w:r>
          </w:p>
        </w:tc>
        <w:tc>
          <w:tcPr>
            <w:tcW w:type="dxa" w:w="2400"/>
            <w:tcMar>
              <w:top w:type="dxa" w:w="60"/>
              <w:left w:type="dxa" w:w="80"/>
              <w:bottom w:type="dxa" w:w="60"/>
              <w:right w:type="dxa" w:w="80"/>
            </w:tcMar>
          </w:tcPr>
          <w:p>
            <w:r>
              <w:rPr>
                <w:b w:val="false"/>
                <w:bCs w:val="false"/>
                <w:sz w:val="17"/>
                <w:szCs w:val="17"/>
              </w:rPr>
              <w:t xml:space="preserve">HR14-19-1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Data classification, residency &amp; sovereignty enforcement; HR focus: approved residency rules.</w:t>
            </w:r>
          </w:p>
        </w:tc>
        <w:tc>
          <w:tcPr>
            <w:tcW w:type="dxa" w:w="2600"/>
            <w:tcMar>
              <w:top w:type="dxa" w:w="60"/>
              <w:left w:type="dxa" w:w="80"/>
              <w:bottom w:type="dxa" w:w="60"/>
              <w:right w:type="dxa" w:w="80"/>
            </w:tcMar>
          </w:tcPr>
          <w:p>
            <w:r>
              <w:rPr>
                <w:b w:val="false"/>
                <w:bCs w:val="false"/>
                <w:sz w:val="17"/>
                <w:szCs w:val="17"/>
              </w:rPr>
              <w:t xml:space="preserve">§20.1-20.3, Table 24 Residency-Copy Matrix (item 58), Table 25 (RACI), HR14-20-1.</w:t>
            </w:r>
          </w:p>
        </w:tc>
        <w:tc>
          <w:tcPr>
            <w:tcW w:type="dxa" w:w="2400"/>
            <w:tcMar>
              <w:top w:type="dxa" w:w="60"/>
              <w:left w:type="dxa" w:w="80"/>
              <w:bottom w:type="dxa" w:w="60"/>
              <w:right w:type="dxa" w:w="80"/>
            </w:tcMar>
          </w:tcPr>
          <w:p>
            <w:r>
              <w:rPr>
                <w:b w:val="false"/>
                <w:bCs w:val="false"/>
                <w:sz w:val="17"/>
                <w:szCs w:val="17"/>
              </w:rPr>
              <w:t xml:space="preserve">NCIE-003/008/009.</w:t>
            </w:r>
          </w:p>
        </w:tc>
        <w:tc>
          <w:tcPr>
            <w:tcW w:type="dxa" w:w="2400"/>
            <w:tcMar>
              <w:top w:type="dxa" w:w="60"/>
              <w:left w:type="dxa" w:w="80"/>
              <w:bottom w:type="dxa" w:w="60"/>
              <w:right w:type="dxa" w:w="80"/>
            </w:tcMar>
          </w:tcPr>
          <w:p>
            <w:r>
              <w:rPr>
                <w:b w:val="false"/>
                <w:bCs w:val="false"/>
                <w:sz w:val="17"/>
                <w:szCs w:val="17"/>
              </w:rPr>
              <w:t xml:space="preserve">HR14-20-1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Encryption, tokenization &amp; protected-field storage; HR focus: protection policy by data class.</w:t>
            </w:r>
          </w:p>
        </w:tc>
        <w:tc>
          <w:tcPr>
            <w:tcW w:type="dxa" w:w="2600"/>
            <w:tcMar>
              <w:top w:type="dxa" w:w="60"/>
              <w:left w:type="dxa" w:w="80"/>
              <w:bottom w:type="dxa" w:w="60"/>
              <w:right w:type="dxa" w:w="80"/>
            </w:tcMar>
          </w:tcPr>
          <w:p>
            <w:r>
              <w:rPr>
                <w:b w:val="false"/>
                <w:bCs w:val="false"/>
                <w:sz w:val="17"/>
                <w:szCs w:val="17"/>
              </w:rPr>
              <w:t xml:space="preserve">§21.1-21.2, Table 26 (RACI), HR14-21-1.</w:t>
            </w:r>
          </w:p>
        </w:tc>
        <w:tc>
          <w:tcPr>
            <w:tcW w:type="dxa" w:w="2400"/>
            <w:tcMar>
              <w:top w:type="dxa" w:w="60"/>
              <w:left w:type="dxa" w:w="80"/>
              <w:bottom w:type="dxa" w:w="60"/>
              <w:right w:type="dxa" w:w="80"/>
            </w:tcMar>
          </w:tcPr>
          <w:p>
            <w:r>
              <w:rPr>
                <w:b w:val="false"/>
                <w:bCs w:val="false"/>
                <w:sz w:val="17"/>
                <w:szCs w:val="17"/>
              </w:rPr>
              <w:t xml:space="preserve">NCIE-003/009.</w:t>
            </w:r>
          </w:p>
        </w:tc>
        <w:tc>
          <w:tcPr>
            <w:tcW w:type="dxa" w:w="2400"/>
            <w:tcMar>
              <w:top w:type="dxa" w:w="60"/>
              <w:left w:type="dxa" w:w="80"/>
              <w:bottom w:type="dxa" w:w="60"/>
              <w:right w:type="dxa" w:w="80"/>
            </w:tcMar>
          </w:tcPr>
          <w:p>
            <w:r>
              <w:rPr>
                <w:b w:val="false"/>
                <w:bCs w:val="false"/>
                <w:sz w:val="17"/>
                <w:szCs w:val="17"/>
              </w:rPr>
              <w:t xml:space="preserve">HR14-21-1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Retention, legal hold, archival &amp; disposition engineering; HR focus: periods/hold authority/disposal.</w:t>
            </w:r>
          </w:p>
        </w:tc>
        <w:tc>
          <w:tcPr>
            <w:tcW w:type="dxa" w:w="2600"/>
            <w:tcMar>
              <w:top w:type="dxa" w:w="60"/>
              <w:left w:type="dxa" w:w="80"/>
              <w:bottom w:type="dxa" w:w="60"/>
              <w:right w:type="dxa" w:w="80"/>
            </w:tcMar>
          </w:tcPr>
          <w:p>
            <w:r>
              <w:rPr>
                <w:b w:val="false"/>
                <w:bCs w:val="false"/>
                <w:sz w:val="17"/>
                <w:szCs w:val="17"/>
              </w:rPr>
              <w:t xml:space="preserve">§22.1-22.3, Table 27 Retention/Disposition Matrix (item 59), Table 28 (RACI), HR14-22-1.</w:t>
            </w:r>
          </w:p>
        </w:tc>
        <w:tc>
          <w:tcPr>
            <w:tcW w:type="dxa" w:w="2400"/>
            <w:tcMar>
              <w:top w:type="dxa" w:w="60"/>
              <w:left w:type="dxa" w:w="80"/>
              <w:bottom w:type="dxa" w:w="60"/>
              <w:right w:type="dxa" w:w="80"/>
            </w:tcMar>
          </w:tcPr>
          <w:p>
            <w:r>
              <w:rPr>
                <w:b w:val="false"/>
                <w:bCs w:val="false"/>
                <w:sz w:val="17"/>
                <w:szCs w:val="17"/>
              </w:rPr>
              <w:t xml:space="preserve">NCIE-006/008/010.</w:t>
            </w:r>
          </w:p>
        </w:tc>
        <w:tc>
          <w:tcPr>
            <w:tcW w:type="dxa" w:w="2400"/>
            <w:tcMar>
              <w:top w:type="dxa" w:w="60"/>
              <w:left w:type="dxa" w:w="80"/>
              <w:bottom w:type="dxa" w:w="60"/>
              <w:right w:type="dxa" w:w="80"/>
            </w:tcMar>
          </w:tcPr>
          <w:p>
            <w:r>
              <w:rPr>
                <w:b w:val="false"/>
                <w:bCs w:val="false"/>
                <w:sz w:val="17"/>
                <w:szCs w:val="17"/>
              </w:rPr>
              <w:t xml:space="preserve">HR14-22-1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Backup, restore &amp; PITR; HR focus: RPO/RTO/backup classes.</w:t>
            </w:r>
          </w:p>
        </w:tc>
        <w:tc>
          <w:tcPr>
            <w:tcW w:type="dxa" w:w="2600"/>
            <w:tcMar>
              <w:top w:type="dxa" w:w="60"/>
              <w:left w:type="dxa" w:w="80"/>
              <w:bottom w:type="dxa" w:w="60"/>
              <w:right w:type="dxa" w:w="80"/>
            </w:tcMar>
          </w:tcPr>
          <w:p>
            <w:r>
              <w:rPr>
                <w:b w:val="false"/>
                <w:bCs w:val="false"/>
                <w:sz w:val="17"/>
                <w:szCs w:val="17"/>
              </w:rPr>
              <w:t xml:space="preserve">§23.1-23.3, Table 29 Recovery/Reconciliation Matrix (item 60), Table 30 (RACI), HR14-23-1.</w:t>
            </w:r>
          </w:p>
        </w:tc>
        <w:tc>
          <w:tcPr>
            <w:tcW w:type="dxa" w:w="2400"/>
            <w:tcMar>
              <w:top w:type="dxa" w:w="60"/>
              <w:left w:type="dxa" w:w="80"/>
              <w:bottom w:type="dxa" w:w="60"/>
              <w:right w:type="dxa" w:w="80"/>
            </w:tcMar>
          </w:tcPr>
          <w:p>
            <w:r>
              <w:rPr>
                <w:b w:val="false"/>
                <w:bCs w:val="false"/>
                <w:sz w:val="17"/>
                <w:szCs w:val="17"/>
              </w:rPr>
              <w:t xml:space="preserve">NCIE-004/009/010.</w:t>
            </w:r>
          </w:p>
        </w:tc>
        <w:tc>
          <w:tcPr>
            <w:tcW w:type="dxa" w:w="2400"/>
            <w:tcMar>
              <w:top w:type="dxa" w:w="60"/>
              <w:left w:type="dxa" w:w="80"/>
              <w:bottom w:type="dxa" w:w="60"/>
              <w:right w:type="dxa" w:w="80"/>
            </w:tcMar>
          </w:tcPr>
          <w:p>
            <w:r>
              <w:rPr>
                <w:b w:val="false"/>
                <w:bCs w:val="false"/>
                <w:sz w:val="17"/>
                <w:szCs w:val="17"/>
              </w:rPr>
              <w:t xml:space="preserve">HR14-23-1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Disaster recovery &amp; cross-site persistence; HR focus: DR topology/sovereignty.</w:t>
            </w:r>
          </w:p>
        </w:tc>
        <w:tc>
          <w:tcPr>
            <w:tcW w:type="dxa" w:w="2600"/>
            <w:tcMar>
              <w:top w:type="dxa" w:w="60"/>
              <w:left w:type="dxa" w:w="80"/>
              <w:bottom w:type="dxa" w:w="60"/>
              <w:right w:type="dxa" w:w="80"/>
            </w:tcMar>
          </w:tcPr>
          <w:p>
            <w:r>
              <w:rPr>
                <w:b w:val="false"/>
                <w:bCs w:val="false"/>
                <w:sz w:val="17"/>
                <w:szCs w:val="17"/>
              </w:rPr>
              <w:t xml:space="preserve">§24.1-24.2, Table 31 (RACI), HR14-24-1.</w:t>
            </w:r>
          </w:p>
        </w:tc>
        <w:tc>
          <w:tcPr>
            <w:tcW w:type="dxa" w:w="2400"/>
            <w:tcMar>
              <w:top w:type="dxa" w:w="60"/>
              <w:left w:type="dxa" w:w="80"/>
              <w:bottom w:type="dxa" w:w="60"/>
              <w:right w:type="dxa" w:w="80"/>
            </w:tcMar>
          </w:tcPr>
          <w:p>
            <w:r>
              <w:rPr>
                <w:b w:val="false"/>
                <w:bCs w:val="false"/>
                <w:sz w:val="17"/>
                <w:szCs w:val="17"/>
              </w:rPr>
              <w:t xml:space="preserve">NCIE-004/009/010.</w:t>
            </w:r>
          </w:p>
        </w:tc>
        <w:tc>
          <w:tcPr>
            <w:tcW w:type="dxa" w:w="2400"/>
            <w:tcMar>
              <w:top w:type="dxa" w:w="60"/>
              <w:left w:type="dxa" w:w="80"/>
              <w:bottom w:type="dxa" w:w="60"/>
              <w:right w:type="dxa" w:w="80"/>
            </w:tcMar>
          </w:tcPr>
          <w:p>
            <w:r>
              <w:rPr>
                <w:b w:val="false"/>
                <w:bCs w:val="false"/>
                <w:sz w:val="17"/>
                <w:szCs w:val="17"/>
              </w:rPr>
              <w:t xml:space="preserve">HR14-24-1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Schema migration &amp; database change management; HR focus: migration approval/downtime.</w:t>
            </w:r>
          </w:p>
        </w:tc>
        <w:tc>
          <w:tcPr>
            <w:tcW w:type="dxa" w:w="2600"/>
            <w:tcMar>
              <w:top w:type="dxa" w:w="60"/>
              <w:left w:type="dxa" w:w="80"/>
              <w:bottom w:type="dxa" w:w="60"/>
              <w:right w:type="dxa" w:w="80"/>
            </w:tcMar>
          </w:tcPr>
          <w:p>
            <w:r>
              <w:rPr>
                <w:b w:val="false"/>
                <w:bCs w:val="false"/>
                <w:sz w:val="17"/>
                <w:szCs w:val="17"/>
              </w:rPr>
              <w:t xml:space="preserve">§25.1-25.2, Table 32 (RACI), HR14-25-1.</w:t>
            </w:r>
          </w:p>
        </w:tc>
        <w:tc>
          <w:tcPr>
            <w:tcW w:type="dxa" w:w="2400"/>
            <w:tcMar>
              <w:top w:type="dxa" w:w="60"/>
              <w:left w:type="dxa" w:w="80"/>
              <w:bottom w:type="dxa" w:w="60"/>
              <w:right w:type="dxa" w:w="80"/>
            </w:tcMar>
          </w:tcPr>
          <w:p>
            <w:r>
              <w:rPr>
                <w:b w:val="false"/>
                <w:bCs w:val="false"/>
                <w:sz w:val="17"/>
                <w:szCs w:val="17"/>
              </w:rPr>
              <w:t xml:space="preserve">NCIE-003/004/011.</w:t>
            </w:r>
          </w:p>
        </w:tc>
        <w:tc>
          <w:tcPr>
            <w:tcW w:type="dxa" w:w="2400"/>
            <w:tcMar>
              <w:top w:type="dxa" w:w="60"/>
              <w:left w:type="dxa" w:w="80"/>
              <w:bottom w:type="dxa" w:w="60"/>
              <w:right w:type="dxa" w:w="80"/>
            </w:tcMar>
          </w:tcPr>
          <w:p>
            <w:r>
              <w:rPr>
                <w:b w:val="false"/>
                <w:bCs w:val="false"/>
                <w:sz w:val="17"/>
                <w:szCs w:val="17"/>
              </w:rPr>
              <w:t xml:space="preserve">HR14-25-1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Data migration, backfill &amp; legacy reconciliation; HR focus: legacy sources/acceptance/reconciliation authority.</w:t>
            </w:r>
          </w:p>
        </w:tc>
        <w:tc>
          <w:tcPr>
            <w:tcW w:type="dxa" w:w="2600"/>
            <w:tcMar>
              <w:top w:type="dxa" w:w="60"/>
              <w:left w:type="dxa" w:w="80"/>
              <w:bottom w:type="dxa" w:w="60"/>
              <w:right w:type="dxa" w:w="80"/>
            </w:tcMar>
          </w:tcPr>
          <w:p>
            <w:r>
              <w:rPr>
                <w:b w:val="false"/>
                <w:bCs w:val="false"/>
                <w:sz w:val="17"/>
                <w:szCs w:val="17"/>
              </w:rPr>
              <w:t xml:space="preserve">§26.1-26.2, Table 33 (RACI), HR14-26-1.</w:t>
            </w:r>
          </w:p>
        </w:tc>
        <w:tc>
          <w:tcPr>
            <w:tcW w:type="dxa" w:w="2400"/>
            <w:tcMar>
              <w:top w:type="dxa" w:w="60"/>
              <w:left w:type="dxa" w:w="80"/>
              <w:bottom w:type="dxa" w:w="60"/>
              <w:right w:type="dxa" w:w="80"/>
            </w:tcMar>
          </w:tcPr>
          <w:p>
            <w:r>
              <w:rPr>
                <w:b w:val="false"/>
                <w:bCs w:val="false"/>
                <w:sz w:val="17"/>
                <w:szCs w:val="17"/>
              </w:rPr>
              <w:t xml:space="preserve">NCIE-003/010.</w:t>
            </w:r>
          </w:p>
        </w:tc>
        <w:tc>
          <w:tcPr>
            <w:tcW w:type="dxa" w:w="2400"/>
            <w:tcMar>
              <w:top w:type="dxa" w:w="60"/>
              <w:left w:type="dxa" w:w="80"/>
              <w:bottom w:type="dxa" w:w="60"/>
              <w:right w:type="dxa" w:w="80"/>
            </w:tcMar>
          </w:tcPr>
          <w:p>
            <w:r>
              <w:rPr>
                <w:b w:val="false"/>
                <w:bCs w:val="false"/>
                <w:sz w:val="17"/>
                <w:szCs w:val="17"/>
              </w:rPr>
              <w:t xml:space="preserve">HR14-26-1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Data lifecycle reconciliation &amp; repair; HR focus: auto-repair boundaries/approval.</w:t>
            </w:r>
          </w:p>
        </w:tc>
        <w:tc>
          <w:tcPr>
            <w:tcW w:type="dxa" w:w="2600"/>
            <w:tcMar>
              <w:top w:type="dxa" w:w="60"/>
              <w:left w:type="dxa" w:w="80"/>
              <w:bottom w:type="dxa" w:w="60"/>
              <w:right w:type="dxa" w:w="80"/>
            </w:tcMar>
          </w:tcPr>
          <w:p>
            <w:r>
              <w:rPr>
                <w:b w:val="false"/>
                <w:bCs w:val="false"/>
                <w:sz w:val="17"/>
                <w:szCs w:val="17"/>
              </w:rPr>
              <w:t xml:space="preserve">§27.1-27.2, Table 34 (RACI), HR14-27-1.</w:t>
            </w:r>
          </w:p>
        </w:tc>
        <w:tc>
          <w:tcPr>
            <w:tcW w:type="dxa" w:w="2400"/>
            <w:tcMar>
              <w:top w:type="dxa" w:w="60"/>
              <w:left w:type="dxa" w:w="80"/>
              <w:bottom w:type="dxa" w:w="60"/>
              <w:right w:type="dxa" w:w="80"/>
            </w:tcMar>
          </w:tcPr>
          <w:p>
            <w:r>
              <w:rPr>
                <w:b w:val="false"/>
                <w:bCs w:val="false"/>
                <w:sz w:val="17"/>
                <w:szCs w:val="17"/>
              </w:rPr>
              <w:t xml:space="preserve">NCIE-003/010/011.</w:t>
            </w:r>
          </w:p>
        </w:tc>
        <w:tc>
          <w:tcPr>
            <w:tcW w:type="dxa" w:w="2400"/>
            <w:tcMar>
              <w:top w:type="dxa" w:w="60"/>
              <w:left w:type="dxa" w:w="80"/>
              <w:bottom w:type="dxa" w:w="60"/>
              <w:right w:type="dxa" w:w="80"/>
            </w:tcMar>
          </w:tcPr>
          <w:p>
            <w:r>
              <w:rPr>
                <w:b w:val="false"/>
                <w:bCs w:val="false"/>
                <w:sz w:val="17"/>
                <w:szCs w:val="17"/>
              </w:rPr>
              <w:t xml:space="preserve">HR14-27-1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Database security &amp; privileged administration; HR focus: DBA privilege model/emergency authority.</w:t>
            </w:r>
          </w:p>
        </w:tc>
        <w:tc>
          <w:tcPr>
            <w:tcW w:type="dxa" w:w="2600"/>
            <w:tcMar>
              <w:top w:type="dxa" w:w="60"/>
              <w:left w:type="dxa" w:w="80"/>
              <w:bottom w:type="dxa" w:w="60"/>
              <w:right w:type="dxa" w:w="80"/>
            </w:tcMar>
          </w:tcPr>
          <w:p>
            <w:r>
              <w:rPr>
                <w:b w:val="false"/>
                <w:bCs w:val="false"/>
                <w:sz w:val="17"/>
                <w:szCs w:val="17"/>
              </w:rPr>
              <w:t xml:space="preserve">§28.1-28.2, Table 35 (RACI), HR14-28-1.</w:t>
            </w:r>
          </w:p>
        </w:tc>
        <w:tc>
          <w:tcPr>
            <w:tcW w:type="dxa" w:w="2400"/>
            <w:tcMar>
              <w:top w:type="dxa" w:w="60"/>
              <w:left w:type="dxa" w:w="80"/>
              <w:bottom w:type="dxa" w:w="60"/>
              <w:right w:type="dxa" w:w="80"/>
            </w:tcMar>
          </w:tcPr>
          <w:p>
            <w:r>
              <w:rPr>
                <w:b w:val="false"/>
                <w:bCs w:val="false"/>
                <w:sz w:val="17"/>
                <w:szCs w:val="17"/>
              </w:rPr>
              <w:t xml:space="preserve">NCIE-008/009.</w:t>
            </w:r>
          </w:p>
        </w:tc>
        <w:tc>
          <w:tcPr>
            <w:tcW w:type="dxa" w:w="2400"/>
            <w:tcMar>
              <w:top w:type="dxa" w:w="60"/>
              <w:left w:type="dxa" w:w="80"/>
              <w:bottom w:type="dxa" w:w="60"/>
              <w:right w:type="dxa" w:w="80"/>
            </w:tcMar>
          </w:tcPr>
          <w:p>
            <w:r>
              <w:rPr>
                <w:b w:val="false"/>
                <w:bCs w:val="false"/>
                <w:sz w:val="17"/>
                <w:szCs w:val="17"/>
              </w:rPr>
              <w:t xml:space="preserve">HR14-28-1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Storage observability, capacity &amp; health; HR focus: storage SLO/capacity thresholds.</w:t>
            </w:r>
          </w:p>
        </w:tc>
        <w:tc>
          <w:tcPr>
            <w:tcW w:type="dxa" w:w="2600"/>
            <w:tcMar>
              <w:top w:type="dxa" w:w="60"/>
              <w:left w:type="dxa" w:w="80"/>
              <w:bottom w:type="dxa" w:w="60"/>
              <w:right w:type="dxa" w:w="80"/>
            </w:tcMar>
          </w:tcPr>
          <w:p>
            <w:r>
              <w:rPr>
                <w:b w:val="false"/>
                <w:bCs w:val="false"/>
                <w:sz w:val="17"/>
                <w:szCs w:val="17"/>
              </w:rPr>
              <w:t xml:space="preserve">§29.1-29.2, Table 36 (RACI), HR14-29-1.</w:t>
            </w:r>
          </w:p>
        </w:tc>
        <w:tc>
          <w:tcPr>
            <w:tcW w:type="dxa" w:w="2400"/>
            <w:tcMar>
              <w:top w:type="dxa" w:w="60"/>
              <w:left w:type="dxa" w:w="80"/>
              <w:bottom w:type="dxa" w:w="60"/>
              <w:right w:type="dxa" w:w="80"/>
            </w:tcMar>
          </w:tcPr>
          <w:p>
            <w:r>
              <w:rPr>
                <w:b w:val="false"/>
                <w:bCs w:val="false"/>
                <w:sz w:val="17"/>
                <w:szCs w:val="17"/>
              </w:rPr>
              <w:t xml:space="preserve">NCIE-004/010/015.</w:t>
            </w:r>
          </w:p>
        </w:tc>
        <w:tc>
          <w:tcPr>
            <w:tcW w:type="dxa" w:w="2400"/>
            <w:tcMar>
              <w:top w:type="dxa" w:w="60"/>
              <w:left w:type="dxa" w:w="80"/>
              <w:bottom w:type="dxa" w:w="60"/>
              <w:right w:type="dxa" w:w="80"/>
            </w:tcMar>
          </w:tcPr>
          <w:p>
            <w:r>
              <w:rPr>
                <w:b w:val="false"/>
                <w:bCs w:val="false"/>
                <w:sz w:val="17"/>
                <w:szCs w:val="17"/>
              </w:rPr>
              <w:t xml:space="preserve">HR14-29-1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Performance engineering &amp; query optimization; HR focus: critical workloads/performance targets.</w:t>
            </w:r>
          </w:p>
        </w:tc>
        <w:tc>
          <w:tcPr>
            <w:tcW w:type="dxa" w:w="2600"/>
            <w:tcMar>
              <w:top w:type="dxa" w:w="60"/>
              <w:left w:type="dxa" w:w="80"/>
              <w:bottom w:type="dxa" w:w="60"/>
              <w:right w:type="dxa" w:w="80"/>
            </w:tcMar>
          </w:tcPr>
          <w:p>
            <w:r>
              <w:rPr>
                <w:b w:val="false"/>
                <w:bCs w:val="false"/>
                <w:sz w:val="17"/>
                <w:szCs w:val="17"/>
              </w:rPr>
              <w:t xml:space="preserve">§30.1-30.2, Table 37 (RACI), HR14-30-1.</w:t>
            </w:r>
          </w:p>
        </w:tc>
        <w:tc>
          <w:tcPr>
            <w:tcW w:type="dxa" w:w="2400"/>
            <w:tcMar>
              <w:top w:type="dxa" w:w="60"/>
              <w:left w:type="dxa" w:w="80"/>
              <w:bottom w:type="dxa" w:w="60"/>
              <w:right w:type="dxa" w:w="80"/>
            </w:tcMar>
          </w:tcPr>
          <w:p>
            <w:r>
              <w:rPr>
                <w:b w:val="false"/>
                <w:bCs w:val="false"/>
                <w:sz w:val="17"/>
                <w:szCs w:val="17"/>
              </w:rPr>
              <w:t xml:space="preserve">NCIE-002/013.</w:t>
            </w:r>
          </w:p>
        </w:tc>
        <w:tc>
          <w:tcPr>
            <w:tcW w:type="dxa" w:w="2400"/>
            <w:tcMar>
              <w:top w:type="dxa" w:w="60"/>
              <w:left w:type="dxa" w:w="80"/>
              <w:bottom w:type="dxa" w:w="60"/>
              <w:right w:type="dxa" w:w="80"/>
            </w:tcMar>
          </w:tcPr>
          <w:p>
            <w:r>
              <w:rPr>
                <w:b w:val="false"/>
                <w:bCs w:val="false"/>
                <w:sz w:val="17"/>
                <w:szCs w:val="17"/>
              </w:rPr>
              <w:t xml:space="preserve">HR14-30-1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Cost, tiering &amp; storage efficiency; HR focus: cost objectives/permitted tiering.</w:t>
            </w:r>
          </w:p>
        </w:tc>
        <w:tc>
          <w:tcPr>
            <w:tcW w:type="dxa" w:w="2600"/>
            <w:tcMar>
              <w:top w:type="dxa" w:w="60"/>
              <w:left w:type="dxa" w:w="80"/>
              <w:bottom w:type="dxa" w:w="60"/>
              <w:right w:type="dxa" w:w="80"/>
            </w:tcMar>
          </w:tcPr>
          <w:p>
            <w:r>
              <w:rPr>
                <w:b w:val="false"/>
                <w:bCs w:val="false"/>
                <w:sz w:val="17"/>
                <w:szCs w:val="17"/>
              </w:rPr>
              <w:t xml:space="preserve">§31.1-31.2, Table 38 (RACI), HR14-31-1.</w:t>
            </w:r>
          </w:p>
        </w:tc>
        <w:tc>
          <w:tcPr>
            <w:tcW w:type="dxa" w:w="2400"/>
            <w:tcMar>
              <w:top w:type="dxa" w:w="60"/>
              <w:left w:type="dxa" w:w="80"/>
              <w:bottom w:type="dxa" w:w="60"/>
              <w:right w:type="dxa" w:w="80"/>
            </w:tcMar>
          </w:tcPr>
          <w:p>
            <w:r>
              <w:rPr>
                <w:b w:val="false"/>
                <w:bCs w:val="false"/>
                <w:sz w:val="17"/>
                <w:szCs w:val="17"/>
              </w:rPr>
              <w:t xml:space="preserve">NCIE-004/008.</w:t>
            </w:r>
          </w:p>
        </w:tc>
        <w:tc>
          <w:tcPr>
            <w:tcW w:type="dxa" w:w="2400"/>
            <w:tcMar>
              <w:top w:type="dxa" w:w="60"/>
              <w:left w:type="dxa" w:w="80"/>
              <w:bottom w:type="dxa" w:w="60"/>
              <w:right w:type="dxa" w:w="80"/>
            </w:tcMar>
          </w:tcPr>
          <w:p>
            <w:r>
              <w:rPr>
                <w:b w:val="false"/>
                <w:bCs w:val="false"/>
                <w:sz w:val="17"/>
                <w:szCs w:val="17"/>
              </w:rPr>
              <w:t xml:space="preserve">HR14-31-1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Database/storage testing &amp; verification; HR focus: test acceptance authority/scenarios.</w:t>
            </w:r>
          </w:p>
        </w:tc>
        <w:tc>
          <w:tcPr>
            <w:tcW w:type="dxa" w:w="2600"/>
            <w:tcMar>
              <w:top w:type="dxa" w:w="60"/>
              <w:left w:type="dxa" w:w="80"/>
              <w:bottom w:type="dxa" w:w="60"/>
              <w:right w:type="dxa" w:w="80"/>
            </w:tcMar>
          </w:tcPr>
          <w:p>
            <w:r>
              <w:rPr>
                <w:b w:val="false"/>
                <w:bCs w:val="false"/>
                <w:sz w:val="17"/>
                <w:szCs w:val="17"/>
              </w:rPr>
              <w:t xml:space="preserve">§32.1-32.2, Table 39 (9 test classes, directive item 52), Table 40 (RACI), HR14-32-1.</w:t>
            </w:r>
          </w:p>
        </w:tc>
        <w:tc>
          <w:tcPr>
            <w:tcW w:type="dxa" w:w="2400"/>
            <w:tcMar>
              <w:top w:type="dxa" w:w="60"/>
              <w:left w:type="dxa" w:w="80"/>
              <w:bottom w:type="dxa" w:w="60"/>
              <w:right w:type="dxa" w:w="80"/>
            </w:tcMar>
          </w:tcPr>
          <w:p>
            <w:r>
              <w:rPr>
                <w:b w:val="false"/>
                <w:bCs w:val="false"/>
                <w:sz w:val="17"/>
                <w:szCs w:val="17"/>
              </w:rPr>
              <w:t xml:space="preserve">NCIE-009/010/016.</w:t>
            </w:r>
          </w:p>
        </w:tc>
        <w:tc>
          <w:tcPr>
            <w:tcW w:type="dxa" w:w="2400"/>
            <w:tcMar>
              <w:top w:type="dxa" w:w="60"/>
              <w:left w:type="dxa" w:w="80"/>
              <w:bottom w:type="dxa" w:w="60"/>
              <w:right w:type="dxa" w:w="80"/>
            </w:tcMar>
          </w:tcPr>
          <w:p>
            <w:r>
              <w:rPr>
                <w:b w:val="false"/>
                <w:bCs w:val="false"/>
                <w:sz w:val="17"/>
                <w:szCs w:val="17"/>
              </w:rPr>
              <w:t xml:space="preserve">HR14-32-1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33</w:t>
            </w:r>
          </w:p>
        </w:tc>
        <w:tc>
          <w:tcPr>
            <w:tcW w:type="dxa" w:w="3200"/>
            <w:tcMar>
              <w:top w:type="dxa" w:w="60"/>
              <w:left w:type="dxa" w:w="80"/>
              <w:bottom w:type="dxa" w:w="60"/>
              <w:right w:type="dxa" w:w="80"/>
            </w:tcMar>
          </w:tcPr>
          <w:p>
            <w:r>
              <w:rPr>
                <w:b w:val="false"/>
                <w:bCs w:val="false"/>
                <w:sz w:val="17"/>
                <w:szCs w:val="17"/>
              </w:rPr>
              <w:t xml:space="preserve">Human Review Register &amp; open persistence decisions; HR focus: register/decide register items.</w:t>
            </w:r>
          </w:p>
        </w:tc>
        <w:tc>
          <w:tcPr>
            <w:tcW w:type="dxa" w:w="2600"/>
            <w:tcMar>
              <w:top w:type="dxa" w:w="60"/>
              <w:left w:type="dxa" w:w="80"/>
              <w:bottom w:type="dxa" w:w="60"/>
              <w:right w:type="dxa" w:w="80"/>
            </w:tcMar>
          </w:tcPr>
          <w:p>
            <w:r>
              <w:rPr>
                <w:b w:val="false"/>
                <w:bCs w:val="false"/>
                <w:sz w:val="17"/>
                <w:szCs w:val="17"/>
              </w:rPr>
              <w:t xml:space="preserve">§33.0-33.6, Table 41 (summary), Table 42 (complete register, 34 items), HR14-33-1.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61); approved Skeletal v0.1 Chapter 33 Salient Things to Note.</w:t>
            </w:r>
          </w:p>
        </w:tc>
        <w:tc>
          <w:tcPr>
            <w:tcW w:type="dxa" w:w="2400"/>
            <w:tcMar>
              <w:top w:type="dxa" w:w="60"/>
              <w:left w:type="dxa" w:w="80"/>
              <w:bottom w:type="dxa" w:w="60"/>
              <w:right w:type="dxa" w:w="80"/>
            </w:tcMar>
          </w:tcPr>
          <w:p>
            <w:r>
              <w:rPr>
                <w:b w:val="false"/>
                <w:bCs w:val="false"/>
                <w:sz w:val="17"/>
                <w:szCs w:val="17"/>
              </w:rPr>
              <w:t xml:space="preserve">HR14-33-1 (this chapter's own item) included in Table 42 and totals from the start — the NCIE-008 register-reconciliation defect and NCIE-009 salient-note omission were both designed around, not repeated. All 34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34</w:t>
            </w:r>
          </w:p>
        </w:tc>
        <w:tc>
          <w:tcPr>
            <w:tcW w:type="dxa" w:w="3200"/>
            <w:tcMar>
              <w:top w:type="dxa" w:w="60"/>
              <w:left w:type="dxa" w:w="80"/>
              <w:bottom w:type="dxa" w:w="60"/>
              <w:right w:type="dxa" w:w="80"/>
            </w:tcMar>
          </w:tcPr>
          <w:p>
            <w:r>
              <w:rPr>
                <w:b w:val="false"/>
                <w:bCs w:val="false"/>
                <w:sz w:val="17"/>
                <w:szCs w:val="17"/>
              </w:rPr>
              <w:t xml:space="preserve">Traceability, acceptance &amp; downstream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§34.0-34.6, Table 43 (traceability matrix, 34 rows), Table 44 (downstream handover, 3 rows), HR14-34-1.</w:t>
            </w:r>
          </w:p>
        </w:tc>
        <w:tc>
          <w:tcPr>
            <w:tcW w:type="dxa" w:w="2400"/>
            <w:tcMar>
              <w:top w:type="dxa" w:w="60"/>
              <w:left w:type="dxa" w:w="80"/>
              <w:bottom w:type="dxa" w:w="60"/>
              <w:right w:type="dxa" w:w="80"/>
            </w:tcMar>
          </w:tcPr>
          <w:p>
            <w:r>
              <w:rPr>
                <w:b w:val="false"/>
                <w:bCs w:val="false"/>
                <w:sz w:val="17"/>
                <w:szCs w:val="17"/>
              </w:rPr>
              <w:t xml:space="preserve">Approved NCIE-001-013; approved NCIE-014 Skeletal v0.1.</w:t>
            </w:r>
          </w:p>
        </w:tc>
        <w:tc>
          <w:tcPr>
            <w:tcW w:type="dxa" w:w="2400"/>
            <w:tcMar>
              <w:top w:type="dxa" w:w="60"/>
              <w:left w:type="dxa" w:w="80"/>
              <w:bottom w:type="dxa" w:w="60"/>
              <w:right w:type="dxa" w:w="80"/>
            </w:tcMar>
          </w:tcPr>
          <w:p>
            <w:r>
              <w:rPr>
                <w:b w:val="false"/>
                <w:bCs w:val="false"/>
                <w:sz w:val="17"/>
                <w:szCs w:val="17"/>
              </w:rPr>
              <w:t xml:space="preserve">HR14-34-1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 Added (Directive Items 55-60)</w:t>
      </w:r>
    </w:p>
    <w:p>
      <w:pPr>
        <w:spacing w:after="200"/>
      </w:pPr>
      <w:r>
        <w:rPr>
          <w:sz w:val="19"/>
          <w:szCs w:val="19"/>
        </w:rPr>
        <w:t xml:space="preserve">Table 2 (Chapter 1) — Physical-Store Allocation Matrix, mapping canonical/logical object classes to physical persistence roles without creating semantic ownership. Table 5 (Chapter 3) — Canonical-to-Physical Mapping Matrix. Table 21 (Chapter 18) — Authoritative-Read Matrix, fixing which workload classes require authoritative current state versus permitted stale/replica/cache reads. Table 24 (Chapter 20) — Residency-Copy Matrix, covering every copy type (primary, replica, index, cache, backup, DR, archive). Table 27 (Chapter 22) — Retention/Disposition Matrix. Table 29 (Chapter 23) — Recovery/Reconciliation Matrix, covering restore, DR failover, schema migration rollback, legacy migration exceptions and repair scenarios.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34 Human Review items total: 32 items from Chapters 1-32 (one per chapter, mechanically extracted from each chapter's own Human Review Focus bullet text), plus HR14-33-1 (Chapter 33's own item) and HR14-34-1 (Chapter 34's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12 Institutional Confirmation Required, 10 Security/Sovereignty Confirmation Required, 9 Engineering/Infrastructure Discovery Required, 2 Legal/Policy Confirmation Required, 1 Resolved by Upstream Baseline. 29 Blocking / 5 Non-Blocking. Every NCIE-014 item was individually checked against the existing NCIE-008–013 Human Review registers per directive item 62's upstream-deduplication rule; none was found to restate an identical institutional/security/domain question, so no cross-reference deduplication was required for this edition. No item manufactures closure of a decision the approved skeleton, the approved NCIE-008–013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NCIE-014 Skeletal v0.1 is substantively represented in the corresponding v1.0 chapter above, including an explicit Salient Things to Note subsection in all 34 chapters — independently re-verified against the final assembled document by a programmatic scan (directive item 75), not assumed from the build script; none is omitted and none is conceptually inverted (Chapter 34 §34.3).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2026-09-16T07:28:03.949Z</dcterms:created>
  <dcterms:modified xsi:type="dcterms:W3CDTF">2026-09-16T07:28:03.953Z</dcterms:modified>
</cp:coreProperties>
</file>

<file path=docProps/custom.xml><?xml version="1.0" encoding="utf-8"?>
<Properties xmlns="http://schemas.openxmlformats.org/officeDocument/2006/custom-properties" xmlns:vt="http://schemas.openxmlformats.org/officeDocument/2006/docPropsVTypes"/>
</file>