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NCIE-015 Skeletal v0.1 → Full v1.0</w:t>
      </w:r>
    </w:p>
    <w:p>
      <w:pPr>
        <w:spacing w:after="100"/>
        <w:jc w:val="center"/>
      </w:pPr>
      <w:r>
        <w:rPr>
          <w:b/>
          <w:bCs/>
          <w:sz w:val="26"/>
          <w:szCs w:val="26"/>
        </w:rPr>
        <w:t xml:space="preserve">Full-Expansion Change Register</w:t>
      </w:r>
    </w:p>
    <w:p>
      <w:pPr>
        <w:spacing w:after="240"/>
        <w:jc w:val="center"/>
      </w:pPr>
      <w:r>
        <w:rPr>
          <w:i/>
          <w:iCs/>
          <w:sz w:val="19"/>
          <w:szCs w:val="19"/>
        </w:rPr>
        <w:t xml:space="preserve">DevSecOps, Infrastructure &amp; Deployment Specification — IN DEVELOPMENT / FOR HUMAN REVIEW</w:t>
      </w:r>
    </w:p>
    <w:p>
      <w:pPr>
        <w:spacing w:after="80" w:before="0"/>
      </w:pPr>
      <w:r>
        <w:rPr>
          <w:b/>
          <w:bCs/>
          <w:sz w:val="20"/>
          <w:szCs w:val="20"/>
        </w:rPr>
        <w:t xml:space="preserve">Formal-Title Reconciliation (Directive Item 3)</w:t>
      </w:r>
    </w:p>
    <w:p>
      <w:pPr>
        <w:spacing w:after="200"/>
      </w:pPr>
      <w:r>
        <w:rPr>
          <w:sz w:val="19"/>
          <w:szCs w:val="19"/>
        </w:rPr>
        <w:t xml:space="preserve">The Skeletal v0.1 source-supported working title 'NCIE-015 — DevSecOps, Infrastructure &amp; Operations Specification' was checked against the NCIE Documentation Suite Master Controlled Register v2.0, Section 3, NCIE-015 entry, per directive item 3 and the skeleton's own Title-control note. The register records the formal title as 'DevSecOps, Infrastructure &amp; Deployment Specification' with Primary Purpose 'Environments, infrastructure, CI/CD, observability, resilience and deployment' — matching this document's actual 36-chapter operational scope exactly. Comparison result: SEMANTIC MATCH — DOCUMENT-CONTROL WORDING DIFFERS ('Deployment' vs. the skeleton's 'Operations'; no material scope discrepancy). The document-control title was accordingly set to 'NCIE-015 — DevSecOps, Infrastructure &amp; Deployment Specification' throughout this document and the deliverable filename; this is recorded as Human Review item HR15-1-1 for institutional confirmation.</w:t>
      </w:r>
    </w:p>
    <w:p>
      <w:pPr>
        <w:spacing w:after="200"/>
      </w:pPr>
      <w:r>
        <w:rPr>
          <w:sz w:val="19"/>
          <w:szCs w:val="19"/>
        </w:rPr>
        <w:t xml:space="preserve">Maps each of the 36 approved NCIE-015 Skeletal v0.1 chapters to its expanded v1.0 location, states the authority basis for the expansion, and records the effect on that chapter's Human Review Focus item. No chapter was added, removed, merged, split or renumbered; every approved chapter purpose, Salient Things to Note, principal component, upstream dependency and Human Review focus is substantively represented below, including an explicit Salient Things to Note subsection in all 36 chapters (directive item 78 hard gate).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shd w:fill="2F5496" w:color="auto" w:val="clear"/>
            <w:tcMar>
              <w:top w:type="dxa" w:w="60"/>
              <w:left w:type="dxa" w:w="80"/>
              <w:bottom w:type="dxa" w:w="60"/>
              <w:right w:type="dxa" w:w="80"/>
            </w:tcMar>
          </w:tcPr>
          <w:p>
            <w:r>
              <w:rPr>
                <w:b/>
                <w:bCs/>
                <w:color w:val="FFFFFF"/>
                <w:sz w:val="17"/>
                <w:szCs w:val="17"/>
              </w:rPr>
              <w:t xml:space="preserve">Ch.</w:t>
            </w:r>
          </w:p>
        </w:tc>
        <w:tc>
          <w:tcPr>
            <w:tcW w:type="dxa" w:w="3200"/>
            <w:shd w:fill="2F5496" w:color="auto" w:val="clear"/>
            <w:tcMar>
              <w:top w:type="dxa" w:w="60"/>
              <w:left w:type="dxa" w:w="80"/>
              <w:bottom w:type="dxa" w:w="60"/>
              <w:right w:type="dxa" w:w="80"/>
            </w:tcMar>
          </w:tcPr>
          <w:p>
            <w:r>
              <w:rPr>
                <w:b/>
                <w:bCs/>
                <w:color w:val="FFFFFF"/>
                <w:sz w:val="17"/>
                <w:szCs w:val="17"/>
              </w:rPr>
              <w:t xml:space="preserve">Approved Skeletal Component (v0.1)</w:t>
            </w:r>
          </w:p>
        </w:tc>
        <w:tc>
          <w:tcPr>
            <w:tcW w:type="dxa" w:w="2600"/>
            <w:shd w:fill="2F5496" w:color="auto" w:val="clear"/>
            <w:tcMar>
              <w:top w:type="dxa" w:w="60"/>
              <w:left w:type="dxa" w:w="80"/>
              <w:bottom w:type="dxa" w:w="60"/>
              <w:right w:type="dxa" w:w="80"/>
            </w:tcMar>
          </w:tcPr>
          <w:p>
            <w:r>
              <w:rPr>
                <w:b/>
                <w:bCs/>
                <w:color w:val="FFFFFF"/>
                <w:sz w:val="17"/>
                <w:szCs w:val="17"/>
              </w:rPr>
              <w:t xml:space="preserve">Expanded Location (v1.0)</w:t>
            </w:r>
          </w:p>
        </w:tc>
        <w:tc>
          <w:tcPr>
            <w:tcW w:type="dxa" w:w="2400"/>
            <w:shd w:fill="2F5496" w:color="auto" w:val="clear"/>
            <w:tcMar>
              <w:top w:type="dxa" w:w="60"/>
              <w:left w:type="dxa" w:w="80"/>
              <w:bottom w:type="dxa" w:w="60"/>
              <w:right w:type="dxa" w:w="80"/>
            </w:tcMar>
          </w:tcPr>
          <w:p>
            <w:r>
              <w:rPr>
                <w:b/>
                <w:bCs/>
                <w:color w:val="FFFFFF"/>
                <w:sz w:val="17"/>
                <w:szCs w:val="17"/>
              </w:rPr>
              <w:t xml:space="preserve">Authority Basis</w:t>
            </w:r>
          </w:p>
        </w:tc>
        <w:tc>
          <w:tcPr>
            <w:tcW w:type="dxa" w:w="2400"/>
            <w:shd w:fill="2F5496" w:color="auto" w:val="clear"/>
            <w:tcMar>
              <w:top w:type="dxa" w:w="60"/>
              <w:left w:type="dxa" w:w="80"/>
              <w:bottom w:type="dxa" w:w="60"/>
              <w:right w:type="dxa" w:w="80"/>
            </w:tcMar>
          </w:tcPr>
          <w:p>
            <w:r>
              <w:rPr>
                <w:b/>
                <w:bCs/>
                <w:color w:val="FFFFFF"/>
                <w:sz w:val="17"/>
                <w:szCs w:val="17"/>
              </w:rPr>
              <w:t xml:space="preserve">Human Review Effect</w:t>
            </w:r>
          </w:p>
        </w:tc>
        <w:tc>
          <w:tcPr>
            <w:tcW w:type="dxa" w:w="1300"/>
            <w:shd w:fill="2F5496" w:color="auto" w:val="clear"/>
            <w:tcMar>
              <w:top w:type="dxa" w:w="60"/>
              <w:left w:type="dxa" w:w="80"/>
              <w:bottom w:type="dxa" w:w="60"/>
              <w:right w:type="dxa" w:w="80"/>
            </w:tcMar>
          </w:tcPr>
          <w:p>
            <w:r>
              <w:rPr>
                <w:b/>
                <w:bCs/>
                <w:color w:val="FFFFFF"/>
                <w:sz w:val="17"/>
                <w:szCs w:val="17"/>
              </w:rPr>
              <w:t xml:space="preserve">Status</w:t>
            </w:r>
          </w:p>
        </w:tc>
      </w:tr>
      <w:tr>
        <w:tc>
          <w:tcPr>
            <w:tcW w:type="dxa" w:w="700"/>
            <w:tcMar>
              <w:top w:type="dxa" w:w="60"/>
              <w:left w:type="dxa" w:w="80"/>
              <w:bottom w:type="dxa" w:w="60"/>
              <w:right w:type="dxa" w:w="80"/>
            </w:tcMar>
          </w:tcPr>
          <w:p>
            <w:r>
              <w:rPr>
                <w:b/>
                <w:bCs/>
                <w:sz w:val="17"/>
                <w:szCs w:val="17"/>
              </w:rPr>
              <w:t xml:space="preserve">1</w:t>
            </w:r>
          </w:p>
        </w:tc>
        <w:tc>
          <w:tcPr>
            <w:tcW w:type="dxa" w:w="3200"/>
            <w:tcMar>
              <w:top w:type="dxa" w:w="60"/>
              <w:left w:type="dxa" w:w="80"/>
              <w:bottom w:type="dxa" w:w="60"/>
              <w:right w:type="dxa" w:w="80"/>
            </w:tcMar>
          </w:tcPr>
          <w:p>
            <w:r>
              <w:rPr>
                <w:b w:val="false"/>
                <w:bCs w:val="false"/>
                <w:sz w:val="17"/>
                <w:szCs w:val="17"/>
              </w:rPr>
              <w:t xml:space="preserve">Mandate, authority chain, operations boundary; HR focus: title/acceptance/ownership.</w:t>
            </w:r>
          </w:p>
        </w:tc>
        <w:tc>
          <w:tcPr>
            <w:tcW w:type="dxa" w:w="2600"/>
            <w:tcMar>
              <w:top w:type="dxa" w:w="60"/>
              <w:left w:type="dxa" w:w="80"/>
              <w:bottom w:type="dxa" w:w="60"/>
              <w:right w:type="dxa" w:w="80"/>
            </w:tcMar>
          </w:tcPr>
          <w:p>
            <w:r>
              <w:rPr>
                <w:b w:val="false"/>
                <w:bCs w:val="false"/>
                <w:sz w:val="17"/>
                <w:szCs w:val="17"/>
              </w:rPr>
              <w:t xml:space="preserve">§1.1-1.3, Table 1 (boundary), Table 2 (Operational Ownership Matrix, item 59), Table 3 (RACI), HR15-1-1.</w:t>
            </w:r>
          </w:p>
        </w:tc>
        <w:tc>
          <w:tcPr>
            <w:tcW w:type="dxa" w:w="2400"/>
            <w:tcMar>
              <w:top w:type="dxa" w:w="60"/>
              <w:left w:type="dxa" w:w="80"/>
              <w:bottom w:type="dxa" w:w="60"/>
              <w:right w:type="dxa" w:w="80"/>
            </w:tcMar>
          </w:tcPr>
          <w:p>
            <w:r>
              <w:rPr>
                <w:b w:val="false"/>
                <w:bCs w:val="false"/>
                <w:sz w:val="17"/>
                <w:szCs w:val="17"/>
              </w:rPr>
              <w:t xml:space="preserve">NCIE-001-014, especially NCIE-004/009-014.</w:t>
            </w:r>
          </w:p>
        </w:tc>
        <w:tc>
          <w:tcPr>
            <w:tcW w:type="dxa" w:w="2400"/>
            <w:tcMar>
              <w:top w:type="dxa" w:w="60"/>
              <w:left w:type="dxa" w:w="80"/>
              <w:bottom w:type="dxa" w:w="60"/>
              <w:right w:type="dxa" w:w="80"/>
            </w:tcMar>
          </w:tcPr>
          <w:p>
            <w:r>
              <w:rPr>
                <w:b w:val="false"/>
                <w:bCs w:val="false"/>
                <w:sz w:val="17"/>
                <w:szCs w:val="17"/>
              </w:rPr>
              <w:t xml:space="preserve">HR15-1-1 includes formal-title reconciliation (§0.1 — corrected to 'Deployment' per Master Controlled Register v2.0),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w:t>
            </w:r>
          </w:p>
        </w:tc>
        <w:tc>
          <w:tcPr>
            <w:tcW w:type="dxa" w:w="3200"/>
            <w:tcMar>
              <w:top w:type="dxa" w:w="60"/>
              <w:left w:type="dxa" w:w="80"/>
              <w:bottom w:type="dxa" w:w="60"/>
              <w:right w:type="dxa" w:w="80"/>
            </w:tcMar>
          </w:tcPr>
          <w:p>
            <w:r>
              <w:rPr>
                <w:b w:val="false"/>
                <w:bCs w:val="false"/>
                <w:sz w:val="17"/>
                <w:szCs w:val="17"/>
              </w:rPr>
              <w:t xml:space="preserve">DevSecOps &amp; operational doctrine; HR focus: doctrine approval.</w:t>
            </w:r>
          </w:p>
        </w:tc>
        <w:tc>
          <w:tcPr>
            <w:tcW w:type="dxa" w:w="2600"/>
            <w:tcMar>
              <w:top w:type="dxa" w:w="60"/>
              <w:left w:type="dxa" w:w="80"/>
              <w:bottom w:type="dxa" w:w="60"/>
              <w:right w:type="dxa" w:w="80"/>
            </w:tcMar>
          </w:tcPr>
          <w:p>
            <w:r>
              <w:rPr>
                <w:b w:val="false"/>
                <w:bCs w:val="false"/>
                <w:sz w:val="17"/>
                <w:szCs w:val="17"/>
              </w:rPr>
              <w:t xml:space="preserve">§2.1-2.2, Table 4 (RACI), HR15-2-1.</w:t>
            </w:r>
          </w:p>
        </w:tc>
        <w:tc>
          <w:tcPr>
            <w:tcW w:type="dxa" w:w="2400"/>
            <w:tcMar>
              <w:top w:type="dxa" w:w="60"/>
              <w:left w:type="dxa" w:w="80"/>
              <w:bottom w:type="dxa" w:w="60"/>
              <w:right w:type="dxa" w:w="80"/>
            </w:tcMar>
          </w:tcPr>
          <w:p>
            <w:r>
              <w:rPr>
                <w:b w:val="false"/>
                <w:bCs w:val="false"/>
                <w:sz w:val="17"/>
                <w:szCs w:val="17"/>
              </w:rPr>
              <w:t xml:space="preserve">NCIE-004/008/009.</w:t>
            </w:r>
          </w:p>
        </w:tc>
        <w:tc>
          <w:tcPr>
            <w:tcW w:type="dxa" w:w="2400"/>
            <w:tcMar>
              <w:top w:type="dxa" w:w="60"/>
              <w:left w:type="dxa" w:w="80"/>
              <w:bottom w:type="dxa" w:w="60"/>
              <w:right w:type="dxa" w:w="80"/>
            </w:tcMar>
          </w:tcPr>
          <w:p>
            <w:r>
              <w:rPr>
                <w:b w:val="false"/>
                <w:bCs w:val="false"/>
                <w:sz w:val="17"/>
                <w:szCs w:val="17"/>
              </w:rPr>
              <w:t xml:space="preserve">HR15-2-1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w:t>
            </w:r>
          </w:p>
        </w:tc>
        <w:tc>
          <w:tcPr>
            <w:tcW w:type="dxa" w:w="3200"/>
            <w:tcMar>
              <w:top w:type="dxa" w:w="60"/>
              <w:left w:type="dxa" w:w="80"/>
              <w:bottom w:type="dxa" w:w="60"/>
              <w:right w:type="dxa" w:w="80"/>
            </w:tcMar>
          </w:tcPr>
          <w:p>
            <w:r>
              <w:rPr>
                <w:b w:val="false"/>
                <w:bCs w:val="false"/>
                <w:sz w:val="17"/>
                <w:szCs w:val="17"/>
              </w:rPr>
              <w:t xml:space="preserve">Environment model &amp; promotion boundaries; HR focus: environment topology/data use.</w:t>
            </w:r>
          </w:p>
        </w:tc>
        <w:tc>
          <w:tcPr>
            <w:tcW w:type="dxa" w:w="2600"/>
            <w:tcMar>
              <w:top w:type="dxa" w:w="60"/>
              <w:left w:type="dxa" w:w="80"/>
              <w:bottom w:type="dxa" w:w="60"/>
              <w:right w:type="dxa" w:w="80"/>
            </w:tcMar>
          </w:tcPr>
          <w:p>
            <w:r>
              <w:rPr>
                <w:b w:val="false"/>
                <w:bCs w:val="false"/>
                <w:sz w:val="17"/>
                <w:szCs w:val="17"/>
              </w:rPr>
              <w:t xml:space="preserve">§3.1-3.3, Table 5 Environment/Promotion Matrix (item 57), Table 6 (RACI), HR15-3-1.</w:t>
            </w:r>
          </w:p>
        </w:tc>
        <w:tc>
          <w:tcPr>
            <w:tcW w:type="dxa" w:w="2400"/>
            <w:tcMar>
              <w:top w:type="dxa" w:w="60"/>
              <w:left w:type="dxa" w:w="80"/>
              <w:bottom w:type="dxa" w:w="60"/>
              <w:right w:type="dxa" w:w="80"/>
            </w:tcMar>
          </w:tcPr>
          <w:p>
            <w:r>
              <w:rPr>
                <w:b w:val="false"/>
                <w:bCs w:val="false"/>
                <w:sz w:val="17"/>
                <w:szCs w:val="17"/>
              </w:rPr>
              <w:t xml:space="preserve">NCIE-004/009/014.</w:t>
            </w:r>
          </w:p>
        </w:tc>
        <w:tc>
          <w:tcPr>
            <w:tcW w:type="dxa" w:w="2400"/>
            <w:tcMar>
              <w:top w:type="dxa" w:w="60"/>
              <w:left w:type="dxa" w:w="80"/>
              <w:bottom w:type="dxa" w:w="60"/>
              <w:right w:type="dxa" w:w="80"/>
            </w:tcMar>
          </w:tcPr>
          <w:p>
            <w:r>
              <w:rPr>
                <w:b w:val="false"/>
                <w:bCs w:val="false"/>
                <w:sz w:val="17"/>
                <w:szCs w:val="17"/>
              </w:rPr>
              <w:t xml:space="preserve">HR15-3-1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4</w:t>
            </w:r>
          </w:p>
        </w:tc>
        <w:tc>
          <w:tcPr>
            <w:tcW w:type="dxa" w:w="3200"/>
            <w:tcMar>
              <w:top w:type="dxa" w:w="60"/>
              <w:left w:type="dxa" w:w="80"/>
              <w:bottom w:type="dxa" w:w="60"/>
              <w:right w:type="dxa" w:w="80"/>
            </w:tcMar>
          </w:tcPr>
          <w:p>
            <w:r>
              <w:rPr>
                <w:b w:val="false"/>
                <w:bCs w:val="false"/>
                <w:sz w:val="17"/>
                <w:szCs w:val="17"/>
              </w:rPr>
              <w:t xml:space="preserve">IaC &amp; configuration realization; HR focus: IaC/config technology.</w:t>
            </w:r>
          </w:p>
        </w:tc>
        <w:tc>
          <w:tcPr>
            <w:tcW w:type="dxa" w:w="2600"/>
            <w:tcMar>
              <w:top w:type="dxa" w:w="60"/>
              <w:left w:type="dxa" w:w="80"/>
              <w:bottom w:type="dxa" w:w="60"/>
              <w:right w:type="dxa" w:w="80"/>
            </w:tcMar>
          </w:tcPr>
          <w:p>
            <w:r>
              <w:rPr>
                <w:b w:val="false"/>
                <w:bCs w:val="false"/>
                <w:sz w:val="17"/>
                <w:szCs w:val="17"/>
              </w:rPr>
              <w:t xml:space="preserve">§4.1-4.2, Table 7 (RACI), HR15-4-1.</w:t>
            </w:r>
          </w:p>
        </w:tc>
        <w:tc>
          <w:tcPr>
            <w:tcW w:type="dxa" w:w="2400"/>
            <w:tcMar>
              <w:top w:type="dxa" w:w="60"/>
              <w:left w:type="dxa" w:w="80"/>
              <w:bottom w:type="dxa" w:w="60"/>
              <w:right w:type="dxa" w:w="80"/>
            </w:tcMar>
          </w:tcPr>
          <w:p>
            <w:r>
              <w:rPr>
                <w:b w:val="false"/>
                <w:bCs w:val="false"/>
                <w:sz w:val="17"/>
                <w:szCs w:val="17"/>
              </w:rPr>
              <w:t xml:space="preserve">NCIE-004/008/009.</w:t>
            </w:r>
          </w:p>
        </w:tc>
        <w:tc>
          <w:tcPr>
            <w:tcW w:type="dxa" w:w="2400"/>
            <w:tcMar>
              <w:top w:type="dxa" w:w="60"/>
              <w:left w:type="dxa" w:w="80"/>
              <w:bottom w:type="dxa" w:w="60"/>
              <w:right w:type="dxa" w:w="80"/>
            </w:tcMar>
          </w:tcPr>
          <w:p>
            <w:r>
              <w:rPr>
                <w:b w:val="false"/>
                <w:bCs w:val="false"/>
                <w:sz w:val="17"/>
                <w:szCs w:val="17"/>
              </w:rPr>
              <w:t xml:space="preserve">HR15-4-1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5</w:t>
            </w:r>
          </w:p>
        </w:tc>
        <w:tc>
          <w:tcPr>
            <w:tcW w:type="dxa" w:w="3200"/>
            <w:tcMar>
              <w:top w:type="dxa" w:w="60"/>
              <w:left w:type="dxa" w:w="80"/>
              <w:bottom w:type="dxa" w:w="60"/>
              <w:right w:type="dxa" w:w="80"/>
            </w:tcMar>
          </w:tcPr>
          <w:p>
            <w:r>
              <w:rPr>
                <w:b w:val="false"/>
                <w:bCs w:val="false"/>
                <w:sz w:val="17"/>
                <w:szCs w:val="17"/>
              </w:rPr>
              <w:t xml:space="preserve">Source control, branching &amp; change integration; HR focus: source-control model.</w:t>
            </w:r>
          </w:p>
        </w:tc>
        <w:tc>
          <w:tcPr>
            <w:tcW w:type="dxa" w:w="2600"/>
            <w:tcMar>
              <w:top w:type="dxa" w:w="60"/>
              <w:left w:type="dxa" w:w="80"/>
              <w:bottom w:type="dxa" w:w="60"/>
              <w:right w:type="dxa" w:w="80"/>
            </w:tcMar>
          </w:tcPr>
          <w:p>
            <w:r>
              <w:rPr>
                <w:b w:val="false"/>
                <w:bCs w:val="false"/>
                <w:sz w:val="17"/>
                <w:szCs w:val="17"/>
              </w:rPr>
              <w:t xml:space="preserve">§5.1-5.2, Table 8 (RACI), HR15-5-1.</w:t>
            </w:r>
          </w:p>
        </w:tc>
        <w:tc>
          <w:tcPr>
            <w:tcW w:type="dxa" w:w="2400"/>
            <w:tcMar>
              <w:top w:type="dxa" w:w="60"/>
              <w:left w:type="dxa" w:w="80"/>
              <w:bottom w:type="dxa" w:w="60"/>
              <w:right w:type="dxa" w:w="80"/>
            </w:tcMar>
          </w:tcPr>
          <w:p>
            <w:r>
              <w:rPr>
                <w:b w:val="false"/>
                <w:bCs w:val="false"/>
                <w:sz w:val="17"/>
                <w:szCs w:val="17"/>
              </w:rPr>
              <w:t xml:space="preserve">NCIE-004/008.</w:t>
            </w:r>
          </w:p>
        </w:tc>
        <w:tc>
          <w:tcPr>
            <w:tcW w:type="dxa" w:w="2400"/>
            <w:tcMar>
              <w:top w:type="dxa" w:w="60"/>
              <w:left w:type="dxa" w:w="80"/>
              <w:bottom w:type="dxa" w:w="60"/>
              <w:right w:type="dxa" w:w="80"/>
            </w:tcMar>
          </w:tcPr>
          <w:p>
            <w:r>
              <w:rPr>
                <w:b w:val="false"/>
                <w:bCs w:val="false"/>
                <w:sz w:val="17"/>
                <w:szCs w:val="17"/>
              </w:rPr>
              <w:t xml:space="preserve">HR15-5-1 classified ENGINEERING/INFRASTRUCTURE DISCOVERY REQUIRED,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6</w:t>
            </w:r>
          </w:p>
        </w:tc>
        <w:tc>
          <w:tcPr>
            <w:tcW w:type="dxa" w:w="3200"/>
            <w:tcMar>
              <w:top w:type="dxa" w:w="60"/>
              <w:left w:type="dxa" w:w="80"/>
              <w:bottom w:type="dxa" w:w="60"/>
              <w:right w:type="dxa" w:w="80"/>
            </w:tcMar>
          </w:tcPr>
          <w:p>
            <w:r>
              <w:rPr>
                <w:b w:val="false"/>
                <w:bCs w:val="false"/>
                <w:sz w:val="17"/>
                <w:szCs w:val="17"/>
              </w:rPr>
              <w:t xml:space="preserve">Build, artifact &amp; supply-chain pipeline; HR focus: build/artifact technology/gates.</w:t>
            </w:r>
          </w:p>
        </w:tc>
        <w:tc>
          <w:tcPr>
            <w:tcW w:type="dxa" w:w="2600"/>
            <w:tcMar>
              <w:top w:type="dxa" w:w="60"/>
              <w:left w:type="dxa" w:w="80"/>
              <w:bottom w:type="dxa" w:w="60"/>
              <w:right w:type="dxa" w:w="80"/>
            </w:tcMar>
          </w:tcPr>
          <w:p>
            <w:r>
              <w:rPr>
                <w:b w:val="false"/>
                <w:bCs w:val="false"/>
                <w:sz w:val="17"/>
                <w:szCs w:val="17"/>
              </w:rPr>
              <w:t xml:space="preserve">§6.1-6.2, Table 9 (RACI), HR15-6-1.</w:t>
            </w:r>
          </w:p>
        </w:tc>
        <w:tc>
          <w:tcPr>
            <w:tcW w:type="dxa" w:w="2400"/>
            <w:tcMar>
              <w:top w:type="dxa" w:w="60"/>
              <w:left w:type="dxa" w:w="80"/>
              <w:bottom w:type="dxa" w:w="60"/>
              <w:right w:type="dxa" w:w="80"/>
            </w:tcMar>
          </w:tcPr>
          <w:p>
            <w:r>
              <w:rPr>
                <w:b w:val="false"/>
                <w:bCs w:val="false"/>
                <w:sz w:val="17"/>
                <w:szCs w:val="17"/>
              </w:rPr>
              <w:t xml:space="preserve">NCIE-004/009.</w:t>
            </w:r>
          </w:p>
        </w:tc>
        <w:tc>
          <w:tcPr>
            <w:tcW w:type="dxa" w:w="2400"/>
            <w:tcMar>
              <w:top w:type="dxa" w:w="60"/>
              <w:left w:type="dxa" w:w="80"/>
              <w:bottom w:type="dxa" w:w="60"/>
              <w:right w:type="dxa" w:w="80"/>
            </w:tcMar>
          </w:tcPr>
          <w:p>
            <w:r>
              <w:rPr>
                <w:b w:val="false"/>
                <w:bCs w:val="false"/>
                <w:sz w:val="17"/>
                <w:szCs w:val="17"/>
              </w:rPr>
              <w:t xml:space="preserve">HR15-6-1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7</w:t>
            </w:r>
          </w:p>
        </w:tc>
        <w:tc>
          <w:tcPr>
            <w:tcW w:type="dxa" w:w="3200"/>
            <w:tcMar>
              <w:top w:type="dxa" w:w="60"/>
              <w:left w:type="dxa" w:w="80"/>
              <w:bottom w:type="dxa" w:w="60"/>
              <w:right w:type="dxa" w:w="80"/>
            </w:tcMar>
          </w:tcPr>
          <w:p>
            <w:r>
              <w:rPr>
                <w:b w:val="false"/>
                <w:bCs w:val="false"/>
                <w:sz w:val="17"/>
                <w:szCs w:val="17"/>
              </w:rPr>
              <w:t xml:space="preserve">CI validation &amp; pre-release gates; HR focus: mandatory gates/exceptions.</w:t>
            </w:r>
          </w:p>
        </w:tc>
        <w:tc>
          <w:tcPr>
            <w:tcW w:type="dxa" w:w="2600"/>
            <w:tcMar>
              <w:top w:type="dxa" w:w="60"/>
              <w:left w:type="dxa" w:w="80"/>
              <w:bottom w:type="dxa" w:w="60"/>
              <w:right w:type="dxa" w:w="80"/>
            </w:tcMar>
          </w:tcPr>
          <w:p>
            <w:r>
              <w:rPr>
                <w:b w:val="false"/>
                <w:bCs w:val="false"/>
                <w:sz w:val="17"/>
                <w:szCs w:val="17"/>
              </w:rPr>
              <w:t xml:space="preserve">§7.1-7.2, Table 10 (RACI), HR15-7-1.</w:t>
            </w:r>
          </w:p>
        </w:tc>
        <w:tc>
          <w:tcPr>
            <w:tcW w:type="dxa" w:w="2400"/>
            <w:tcMar>
              <w:top w:type="dxa" w:w="60"/>
              <w:left w:type="dxa" w:w="80"/>
              <w:bottom w:type="dxa" w:w="60"/>
              <w:right w:type="dxa" w:w="80"/>
            </w:tcMar>
          </w:tcPr>
          <w:p>
            <w:r>
              <w:rPr>
                <w:b w:val="false"/>
                <w:bCs w:val="false"/>
                <w:sz w:val="17"/>
                <w:szCs w:val="17"/>
              </w:rPr>
              <w:t xml:space="preserve">NCIE-004/008/009/016.</w:t>
            </w:r>
          </w:p>
        </w:tc>
        <w:tc>
          <w:tcPr>
            <w:tcW w:type="dxa" w:w="2400"/>
            <w:tcMar>
              <w:top w:type="dxa" w:w="60"/>
              <w:left w:type="dxa" w:w="80"/>
              <w:bottom w:type="dxa" w:w="60"/>
              <w:right w:type="dxa" w:w="80"/>
            </w:tcMar>
          </w:tcPr>
          <w:p>
            <w:r>
              <w:rPr>
                <w:b w:val="false"/>
                <w:bCs w:val="false"/>
                <w:sz w:val="17"/>
                <w:szCs w:val="17"/>
              </w:rPr>
              <w:t xml:space="preserve">HR15-7-1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8</w:t>
            </w:r>
          </w:p>
        </w:tc>
        <w:tc>
          <w:tcPr>
            <w:tcW w:type="dxa" w:w="3200"/>
            <w:tcMar>
              <w:top w:type="dxa" w:w="60"/>
              <w:left w:type="dxa" w:w="80"/>
              <w:bottom w:type="dxa" w:w="60"/>
              <w:right w:type="dxa" w:w="80"/>
            </w:tcMar>
          </w:tcPr>
          <w:p>
            <w:r>
              <w:rPr>
                <w:b w:val="false"/>
                <w:bCs w:val="false"/>
                <w:sz w:val="17"/>
                <w:szCs w:val="17"/>
              </w:rPr>
              <w:t xml:space="preserve">Release management &amp; deployment authorization; HR focus: release authority/change classes.</w:t>
            </w:r>
          </w:p>
        </w:tc>
        <w:tc>
          <w:tcPr>
            <w:tcW w:type="dxa" w:w="2600"/>
            <w:tcMar>
              <w:top w:type="dxa" w:w="60"/>
              <w:left w:type="dxa" w:w="80"/>
              <w:bottom w:type="dxa" w:w="60"/>
              <w:right w:type="dxa" w:w="80"/>
            </w:tcMar>
          </w:tcPr>
          <w:p>
            <w:r>
              <w:rPr>
                <w:b w:val="false"/>
                <w:bCs w:val="false"/>
                <w:sz w:val="17"/>
                <w:szCs w:val="17"/>
              </w:rPr>
              <w:t xml:space="preserve">§8.1-8.3, Table 11 Release-Control Matrix (item 58), Table 12 (RACI), HR15-8-1.</w:t>
            </w:r>
          </w:p>
        </w:tc>
        <w:tc>
          <w:tcPr>
            <w:tcW w:type="dxa" w:w="2400"/>
            <w:tcMar>
              <w:top w:type="dxa" w:w="60"/>
              <w:left w:type="dxa" w:w="80"/>
              <w:bottom w:type="dxa" w:w="60"/>
              <w:right w:type="dxa" w:w="80"/>
            </w:tcMar>
          </w:tcPr>
          <w:p>
            <w:r>
              <w:rPr>
                <w:b w:val="false"/>
                <w:bCs w:val="false"/>
                <w:sz w:val="17"/>
                <w:szCs w:val="17"/>
              </w:rPr>
              <w:t xml:space="preserve">NCIE-008/004.</w:t>
            </w:r>
          </w:p>
        </w:tc>
        <w:tc>
          <w:tcPr>
            <w:tcW w:type="dxa" w:w="2400"/>
            <w:tcMar>
              <w:top w:type="dxa" w:w="60"/>
              <w:left w:type="dxa" w:w="80"/>
              <w:bottom w:type="dxa" w:w="60"/>
              <w:right w:type="dxa" w:w="80"/>
            </w:tcMar>
          </w:tcPr>
          <w:p>
            <w:r>
              <w:rPr>
                <w:b w:val="false"/>
                <w:bCs w:val="false"/>
                <w:sz w:val="17"/>
                <w:szCs w:val="17"/>
              </w:rPr>
              <w:t xml:space="preserve">HR15-8-1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9</w:t>
            </w:r>
          </w:p>
        </w:tc>
        <w:tc>
          <w:tcPr>
            <w:tcW w:type="dxa" w:w="3200"/>
            <w:tcMar>
              <w:top w:type="dxa" w:w="60"/>
              <w:left w:type="dxa" w:w="80"/>
              <w:bottom w:type="dxa" w:w="60"/>
              <w:right w:type="dxa" w:w="80"/>
            </w:tcMar>
          </w:tcPr>
          <w:p>
            <w:r>
              <w:rPr>
                <w:b w:val="false"/>
                <w:bCs w:val="false"/>
                <w:sz w:val="17"/>
                <w:szCs w:val="17"/>
              </w:rPr>
              <w:t xml:space="preserve">Deployment strategies &amp; rollout control; HR focus: permitted strategies.</w:t>
            </w:r>
          </w:p>
        </w:tc>
        <w:tc>
          <w:tcPr>
            <w:tcW w:type="dxa" w:w="2600"/>
            <w:tcMar>
              <w:top w:type="dxa" w:w="60"/>
              <w:left w:type="dxa" w:w="80"/>
              <w:bottom w:type="dxa" w:w="60"/>
              <w:right w:type="dxa" w:w="80"/>
            </w:tcMar>
          </w:tcPr>
          <w:p>
            <w:r>
              <w:rPr>
                <w:b w:val="false"/>
                <w:bCs w:val="false"/>
                <w:sz w:val="17"/>
                <w:szCs w:val="17"/>
              </w:rPr>
              <w:t xml:space="preserve">§9.1-9.2, Table 13 (RACI), HR15-9-1.</w:t>
            </w:r>
          </w:p>
        </w:tc>
        <w:tc>
          <w:tcPr>
            <w:tcW w:type="dxa" w:w="2400"/>
            <w:tcMar>
              <w:top w:type="dxa" w:w="60"/>
              <w:left w:type="dxa" w:w="80"/>
              <w:bottom w:type="dxa" w:w="60"/>
              <w:right w:type="dxa" w:w="80"/>
            </w:tcMar>
          </w:tcPr>
          <w:p>
            <w:r>
              <w:rPr>
                <w:b w:val="false"/>
                <w:bCs w:val="false"/>
                <w:sz w:val="17"/>
                <w:szCs w:val="17"/>
              </w:rPr>
              <w:t xml:space="preserve">NCIE-004/011/014.</w:t>
            </w:r>
          </w:p>
        </w:tc>
        <w:tc>
          <w:tcPr>
            <w:tcW w:type="dxa" w:w="2400"/>
            <w:tcMar>
              <w:top w:type="dxa" w:w="60"/>
              <w:left w:type="dxa" w:w="80"/>
              <w:bottom w:type="dxa" w:w="60"/>
              <w:right w:type="dxa" w:w="80"/>
            </w:tcMar>
          </w:tcPr>
          <w:p>
            <w:r>
              <w:rPr>
                <w:b w:val="false"/>
                <w:bCs w:val="false"/>
                <w:sz w:val="17"/>
                <w:szCs w:val="17"/>
              </w:rPr>
              <w:t xml:space="preserve">HR15-9-1 classified ENGINEERING/INFRASTRUCTURE DISCOVERY REQUIRED,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10</w:t>
            </w:r>
          </w:p>
        </w:tc>
        <w:tc>
          <w:tcPr>
            <w:tcW w:type="dxa" w:w="3200"/>
            <w:tcMar>
              <w:top w:type="dxa" w:w="60"/>
              <w:left w:type="dxa" w:w="80"/>
              <w:bottom w:type="dxa" w:w="60"/>
              <w:right w:type="dxa" w:w="80"/>
            </w:tcMar>
          </w:tcPr>
          <w:p>
            <w:r>
              <w:rPr>
                <w:b w:val="false"/>
                <w:bCs w:val="false"/>
                <w:sz w:val="17"/>
                <w:szCs w:val="17"/>
              </w:rPr>
              <w:t xml:space="preserve">Runtime platform &amp; workload scheduling; HR focus: runtime technology/classes.</w:t>
            </w:r>
          </w:p>
        </w:tc>
        <w:tc>
          <w:tcPr>
            <w:tcW w:type="dxa" w:w="2600"/>
            <w:tcMar>
              <w:top w:type="dxa" w:w="60"/>
              <w:left w:type="dxa" w:w="80"/>
              <w:bottom w:type="dxa" w:w="60"/>
              <w:right w:type="dxa" w:w="80"/>
            </w:tcMar>
          </w:tcPr>
          <w:p>
            <w:r>
              <w:rPr>
                <w:b w:val="false"/>
                <w:bCs w:val="false"/>
                <w:sz w:val="17"/>
                <w:szCs w:val="17"/>
              </w:rPr>
              <w:t xml:space="preserve">§10.1-10.2, Table 14 (RACI), HR15-10-1.</w:t>
            </w:r>
          </w:p>
        </w:tc>
        <w:tc>
          <w:tcPr>
            <w:tcW w:type="dxa" w:w="2400"/>
            <w:tcMar>
              <w:top w:type="dxa" w:w="60"/>
              <w:left w:type="dxa" w:w="80"/>
              <w:bottom w:type="dxa" w:w="60"/>
              <w:right w:type="dxa" w:w="80"/>
            </w:tcMar>
          </w:tcPr>
          <w:p>
            <w:r>
              <w:rPr>
                <w:b w:val="false"/>
                <w:bCs w:val="false"/>
                <w:sz w:val="17"/>
                <w:szCs w:val="17"/>
              </w:rPr>
              <w:t xml:space="preserve">NCIE-004/009.</w:t>
            </w:r>
          </w:p>
        </w:tc>
        <w:tc>
          <w:tcPr>
            <w:tcW w:type="dxa" w:w="2400"/>
            <w:tcMar>
              <w:top w:type="dxa" w:w="60"/>
              <w:left w:type="dxa" w:w="80"/>
              <w:bottom w:type="dxa" w:w="60"/>
              <w:right w:type="dxa" w:w="80"/>
            </w:tcMar>
          </w:tcPr>
          <w:p>
            <w:r>
              <w:rPr>
                <w:b w:val="false"/>
                <w:bCs w:val="false"/>
                <w:sz w:val="17"/>
                <w:szCs w:val="17"/>
              </w:rPr>
              <w:t xml:space="preserve">HR15-10-1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11</w:t>
            </w:r>
          </w:p>
        </w:tc>
        <w:tc>
          <w:tcPr>
            <w:tcW w:type="dxa" w:w="3200"/>
            <w:tcMar>
              <w:top w:type="dxa" w:w="60"/>
              <w:left w:type="dxa" w:w="80"/>
              <w:bottom w:type="dxa" w:w="60"/>
              <w:right w:type="dxa" w:w="80"/>
            </w:tcMar>
          </w:tcPr>
          <w:p>
            <w:r>
              <w:rPr>
                <w:b w:val="false"/>
                <w:bCs w:val="false"/>
                <w:sz w:val="17"/>
                <w:szCs w:val="17"/>
              </w:rPr>
              <w:t xml:space="preserve">Agent runtime &amp; sandbox infrastructure; HR focus: sandbox/runtime/generated-code activation.</w:t>
            </w:r>
          </w:p>
        </w:tc>
        <w:tc>
          <w:tcPr>
            <w:tcW w:type="dxa" w:w="2600"/>
            <w:tcMar>
              <w:top w:type="dxa" w:w="60"/>
              <w:left w:type="dxa" w:w="80"/>
              <w:bottom w:type="dxa" w:w="60"/>
              <w:right w:type="dxa" w:w="80"/>
            </w:tcMar>
          </w:tcPr>
          <w:p>
            <w:r>
              <w:rPr>
                <w:b w:val="false"/>
                <w:bCs w:val="false"/>
                <w:sz w:val="17"/>
                <w:szCs w:val="17"/>
              </w:rPr>
              <w:t xml:space="preserve">§11.1-11.2, Table 15 (RACI), HR15-11-1.</w:t>
            </w:r>
          </w:p>
        </w:tc>
        <w:tc>
          <w:tcPr>
            <w:tcW w:type="dxa" w:w="2400"/>
            <w:tcMar>
              <w:top w:type="dxa" w:w="60"/>
              <w:left w:type="dxa" w:w="80"/>
              <w:bottom w:type="dxa" w:w="60"/>
              <w:right w:type="dxa" w:w="80"/>
            </w:tcMar>
          </w:tcPr>
          <w:p>
            <w:r>
              <w:rPr>
                <w:b w:val="false"/>
                <w:bCs w:val="false"/>
                <w:sz w:val="17"/>
                <w:szCs w:val="17"/>
              </w:rPr>
              <w:t xml:space="preserve">NCIE-007/009/004.</w:t>
            </w:r>
          </w:p>
        </w:tc>
        <w:tc>
          <w:tcPr>
            <w:tcW w:type="dxa" w:w="2400"/>
            <w:tcMar>
              <w:top w:type="dxa" w:w="60"/>
              <w:left w:type="dxa" w:w="80"/>
              <w:bottom w:type="dxa" w:w="60"/>
              <w:right w:type="dxa" w:w="80"/>
            </w:tcMar>
          </w:tcPr>
          <w:p>
            <w:r>
              <w:rPr>
                <w:b w:val="false"/>
                <w:bCs w:val="false"/>
                <w:sz w:val="17"/>
                <w:szCs w:val="17"/>
              </w:rPr>
              <w:t xml:space="preserve">HR15-11-1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12</w:t>
            </w:r>
          </w:p>
        </w:tc>
        <w:tc>
          <w:tcPr>
            <w:tcW w:type="dxa" w:w="3200"/>
            <w:tcMar>
              <w:top w:type="dxa" w:w="60"/>
              <w:left w:type="dxa" w:w="80"/>
              <w:bottom w:type="dxa" w:w="60"/>
              <w:right w:type="dxa" w:w="80"/>
            </w:tcMar>
          </w:tcPr>
          <w:p>
            <w:r>
              <w:rPr>
                <w:b w:val="false"/>
                <w:bCs w:val="false"/>
                <w:sz w:val="17"/>
                <w:szCs w:val="17"/>
              </w:rPr>
              <w:t xml:space="preserve">Network, ingress, egress &amp; service connectivity operations; HR focus: topology/egress classes.</w:t>
            </w:r>
          </w:p>
        </w:tc>
        <w:tc>
          <w:tcPr>
            <w:tcW w:type="dxa" w:w="2600"/>
            <w:tcMar>
              <w:top w:type="dxa" w:w="60"/>
              <w:left w:type="dxa" w:w="80"/>
              <w:bottom w:type="dxa" w:w="60"/>
              <w:right w:type="dxa" w:w="80"/>
            </w:tcMar>
          </w:tcPr>
          <w:p>
            <w:r>
              <w:rPr>
                <w:b w:val="false"/>
                <w:bCs w:val="false"/>
                <w:sz w:val="17"/>
                <w:szCs w:val="17"/>
              </w:rPr>
              <w:t xml:space="preserve">§12.1-12.2, Table 16 (RACI), HR15-12-1.</w:t>
            </w:r>
          </w:p>
        </w:tc>
        <w:tc>
          <w:tcPr>
            <w:tcW w:type="dxa" w:w="2400"/>
            <w:tcMar>
              <w:top w:type="dxa" w:w="60"/>
              <w:left w:type="dxa" w:w="80"/>
              <w:bottom w:type="dxa" w:w="60"/>
              <w:right w:type="dxa" w:w="80"/>
            </w:tcMar>
          </w:tcPr>
          <w:p>
            <w:r>
              <w:rPr>
                <w:b w:val="false"/>
                <w:bCs w:val="false"/>
                <w:sz w:val="17"/>
                <w:szCs w:val="17"/>
              </w:rPr>
              <w:t xml:space="preserve">NCIE-009/004.</w:t>
            </w:r>
          </w:p>
        </w:tc>
        <w:tc>
          <w:tcPr>
            <w:tcW w:type="dxa" w:w="2400"/>
            <w:tcMar>
              <w:top w:type="dxa" w:w="60"/>
              <w:left w:type="dxa" w:w="80"/>
              <w:bottom w:type="dxa" w:w="60"/>
              <w:right w:type="dxa" w:w="80"/>
            </w:tcMar>
          </w:tcPr>
          <w:p>
            <w:r>
              <w:rPr>
                <w:b w:val="false"/>
                <w:bCs w:val="false"/>
                <w:sz w:val="17"/>
                <w:szCs w:val="17"/>
              </w:rPr>
              <w:t xml:space="preserve">HR15-12-1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13</w:t>
            </w:r>
          </w:p>
        </w:tc>
        <w:tc>
          <w:tcPr>
            <w:tcW w:type="dxa" w:w="3200"/>
            <w:tcMar>
              <w:top w:type="dxa" w:w="60"/>
              <w:left w:type="dxa" w:w="80"/>
              <w:bottom w:type="dxa" w:w="60"/>
              <w:right w:type="dxa" w:w="80"/>
            </w:tcMar>
          </w:tcPr>
          <w:p>
            <w:r>
              <w:rPr>
                <w:b w:val="false"/>
                <w:bCs w:val="false"/>
                <w:sz w:val="17"/>
                <w:szCs w:val="17"/>
              </w:rPr>
              <w:t xml:space="preserve">IAM, workload identity &amp; privileged operations; HR focus: privilege/on-call emergency model.</w:t>
            </w:r>
          </w:p>
        </w:tc>
        <w:tc>
          <w:tcPr>
            <w:tcW w:type="dxa" w:w="2600"/>
            <w:tcMar>
              <w:top w:type="dxa" w:w="60"/>
              <w:left w:type="dxa" w:w="80"/>
              <w:bottom w:type="dxa" w:w="60"/>
              <w:right w:type="dxa" w:w="80"/>
            </w:tcMar>
          </w:tcPr>
          <w:p>
            <w:r>
              <w:rPr>
                <w:b w:val="false"/>
                <w:bCs w:val="false"/>
                <w:sz w:val="17"/>
                <w:szCs w:val="17"/>
              </w:rPr>
              <w:t xml:space="preserve">§13.1-13.2, Table 17 (RACI), HR15-13-1.</w:t>
            </w:r>
          </w:p>
        </w:tc>
        <w:tc>
          <w:tcPr>
            <w:tcW w:type="dxa" w:w="2400"/>
            <w:tcMar>
              <w:top w:type="dxa" w:w="60"/>
              <w:left w:type="dxa" w:w="80"/>
              <w:bottom w:type="dxa" w:w="60"/>
              <w:right w:type="dxa" w:w="80"/>
            </w:tcMar>
          </w:tcPr>
          <w:p>
            <w:r>
              <w:rPr>
                <w:b w:val="false"/>
                <w:bCs w:val="false"/>
                <w:sz w:val="17"/>
                <w:szCs w:val="17"/>
              </w:rPr>
              <w:t xml:space="preserve">NCIE-009/008.</w:t>
            </w:r>
          </w:p>
        </w:tc>
        <w:tc>
          <w:tcPr>
            <w:tcW w:type="dxa" w:w="2400"/>
            <w:tcMar>
              <w:top w:type="dxa" w:w="60"/>
              <w:left w:type="dxa" w:w="80"/>
              <w:bottom w:type="dxa" w:w="60"/>
              <w:right w:type="dxa" w:w="80"/>
            </w:tcMar>
          </w:tcPr>
          <w:p>
            <w:r>
              <w:rPr>
                <w:b w:val="false"/>
                <w:bCs w:val="false"/>
                <w:sz w:val="17"/>
                <w:szCs w:val="17"/>
              </w:rPr>
              <w:t xml:space="preserve">HR15-13-1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14</w:t>
            </w:r>
          </w:p>
        </w:tc>
        <w:tc>
          <w:tcPr>
            <w:tcW w:type="dxa" w:w="3200"/>
            <w:tcMar>
              <w:top w:type="dxa" w:w="60"/>
              <w:left w:type="dxa" w:w="80"/>
              <w:bottom w:type="dxa" w:w="60"/>
              <w:right w:type="dxa" w:w="80"/>
            </w:tcMar>
          </w:tcPr>
          <w:p>
            <w:r>
              <w:rPr>
                <w:b w:val="false"/>
                <w:bCs w:val="false"/>
                <w:sz w:val="17"/>
                <w:szCs w:val="17"/>
              </w:rPr>
              <w:t xml:space="preserve">Secrets, certificates &amp; key operations; HR focus: custody/rotation policy.</w:t>
            </w:r>
          </w:p>
        </w:tc>
        <w:tc>
          <w:tcPr>
            <w:tcW w:type="dxa" w:w="2600"/>
            <w:tcMar>
              <w:top w:type="dxa" w:w="60"/>
              <w:left w:type="dxa" w:w="80"/>
              <w:bottom w:type="dxa" w:w="60"/>
              <w:right w:type="dxa" w:w="80"/>
            </w:tcMar>
          </w:tcPr>
          <w:p>
            <w:r>
              <w:rPr>
                <w:b w:val="false"/>
                <w:bCs w:val="false"/>
                <w:sz w:val="17"/>
                <w:szCs w:val="17"/>
              </w:rPr>
              <w:t xml:space="preserve">§14.1-14.2, Table 18 (RACI), HR15-14-1.</w:t>
            </w:r>
          </w:p>
        </w:tc>
        <w:tc>
          <w:tcPr>
            <w:tcW w:type="dxa" w:w="2400"/>
            <w:tcMar>
              <w:top w:type="dxa" w:w="60"/>
              <w:left w:type="dxa" w:w="80"/>
              <w:bottom w:type="dxa" w:w="60"/>
              <w:right w:type="dxa" w:w="80"/>
            </w:tcMar>
          </w:tcPr>
          <w:p>
            <w:r>
              <w:rPr>
                <w:b w:val="false"/>
                <w:bCs w:val="false"/>
                <w:sz w:val="17"/>
                <w:szCs w:val="17"/>
              </w:rPr>
              <w:t xml:space="preserve">NCIE-009/004.</w:t>
            </w:r>
          </w:p>
        </w:tc>
        <w:tc>
          <w:tcPr>
            <w:tcW w:type="dxa" w:w="2400"/>
            <w:tcMar>
              <w:top w:type="dxa" w:w="60"/>
              <w:left w:type="dxa" w:w="80"/>
              <w:bottom w:type="dxa" w:w="60"/>
              <w:right w:type="dxa" w:w="80"/>
            </w:tcMar>
          </w:tcPr>
          <w:p>
            <w:r>
              <w:rPr>
                <w:b w:val="false"/>
                <w:bCs w:val="false"/>
                <w:sz w:val="17"/>
                <w:szCs w:val="17"/>
              </w:rPr>
              <w:t xml:space="preserve">HR15-14-1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15</w:t>
            </w:r>
          </w:p>
        </w:tc>
        <w:tc>
          <w:tcPr>
            <w:tcW w:type="dxa" w:w="3200"/>
            <w:tcMar>
              <w:top w:type="dxa" w:w="60"/>
              <w:left w:type="dxa" w:w="80"/>
              <w:bottom w:type="dxa" w:w="60"/>
              <w:right w:type="dxa" w:w="80"/>
            </w:tcMar>
          </w:tcPr>
          <w:p>
            <w:r>
              <w:rPr>
                <w:b w:val="false"/>
                <w:bCs w:val="false"/>
                <w:sz w:val="17"/>
                <w:szCs w:val="17"/>
              </w:rPr>
              <w:t xml:space="preserve">Database &amp; storage deployment operations; HR focus: ownership/maintenance windows.</w:t>
            </w:r>
          </w:p>
        </w:tc>
        <w:tc>
          <w:tcPr>
            <w:tcW w:type="dxa" w:w="2600"/>
            <w:tcMar>
              <w:top w:type="dxa" w:w="60"/>
              <w:left w:type="dxa" w:w="80"/>
              <w:bottom w:type="dxa" w:w="60"/>
              <w:right w:type="dxa" w:w="80"/>
            </w:tcMar>
          </w:tcPr>
          <w:p>
            <w:r>
              <w:rPr>
                <w:b w:val="false"/>
                <w:bCs w:val="false"/>
                <w:sz w:val="17"/>
                <w:szCs w:val="17"/>
              </w:rPr>
              <w:t xml:space="preserve">§15.1-15.2, Table 19 (RACI), HR15-15-1.</w:t>
            </w:r>
          </w:p>
        </w:tc>
        <w:tc>
          <w:tcPr>
            <w:tcW w:type="dxa" w:w="2400"/>
            <w:tcMar>
              <w:top w:type="dxa" w:w="60"/>
              <w:left w:type="dxa" w:w="80"/>
              <w:bottom w:type="dxa" w:w="60"/>
              <w:right w:type="dxa" w:w="80"/>
            </w:tcMar>
          </w:tcPr>
          <w:p>
            <w:r>
              <w:rPr>
                <w:b w:val="false"/>
                <w:bCs w:val="false"/>
                <w:sz w:val="17"/>
                <w:szCs w:val="17"/>
              </w:rPr>
              <w:t xml:space="preserve">NCIE-014.</w:t>
            </w:r>
          </w:p>
        </w:tc>
        <w:tc>
          <w:tcPr>
            <w:tcW w:type="dxa" w:w="2400"/>
            <w:tcMar>
              <w:top w:type="dxa" w:w="60"/>
              <w:left w:type="dxa" w:w="80"/>
              <w:bottom w:type="dxa" w:w="60"/>
              <w:right w:type="dxa" w:w="80"/>
            </w:tcMar>
          </w:tcPr>
          <w:p>
            <w:r>
              <w:rPr>
                <w:b w:val="false"/>
                <w:bCs w:val="false"/>
                <w:sz w:val="17"/>
                <w:szCs w:val="17"/>
              </w:rPr>
              <w:t xml:space="preserve">HR15-15-1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16</w:t>
            </w:r>
          </w:p>
        </w:tc>
        <w:tc>
          <w:tcPr>
            <w:tcW w:type="dxa" w:w="3200"/>
            <w:tcMar>
              <w:top w:type="dxa" w:w="60"/>
              <w:left w:type="dxa" w:w="80"/>
              <w:bottom w:type="dxa" w:w="60"/>
              <w:right w:type="dxa" w:w="80"/>
            </w:tcMar>
          </w:tcPr>
          <w:p>
            <w:r>
              <w:rPr>
                <w:b w:val="false"/>
                <w:bCs w:val="false"/>
                <w:sz w:val="17"/>
                <w:szCs w:val="17"/>
              </w:rPr>
              <w:t xml:space="preserve">API gateway, event bus &amp; connector operations; HR focus: platform ownership/thresholds.</w:t>
            </w:r>
          </w:p>
        </w:tc>
        <w:tc>
          <w:tcPr>
            <w:tcW w:type="dxa" w:w="2600"/>
            <w:tcMar>
              <w:top w:type="dxa" w:w="60"/>
              <w:left w:type="dxa" w:w="80"/>
              <w:bottom w:type="dxa" w:w="60"/>
              <w:right w:type="dxa" w:w="80"/>
            </w:tcMar>
          </w:tcPr>
          <w:p>
            <w:r>
              <w:rPr>
                <w:b w:val="false"/>
                <w:bCs w:val="false"/>
                <w:sz w:val="17"/>
                <w:szCs w:val="17"/>
              </w:rPr>
              <w:t xml:space="preserve">§16.1-16.2, Table 20 (RACI), HR15-16-1.</w:t>
            </w:r>
          </w:p>
        </w:tc>
        <w:tc>
          <w:tcPr>
            <w:tcW w:type="dxa" w:w="2400"/>
            <w:tcMar>
              <w:top w:type="dxa" w:w="60"/>
              <w:left w:type="dxa" w:w="80"/>
              <w:bottom w:type="dxa" w:w="60"/>
              <w:right w:type="dxa" w:w="80"/>
            </w:tcMar>
          </w:tcPr>
          <w:p>
            <w:r>
              <w:rPr>
                <w:b w:val="false"/>
                <w:bCs w:val="false"/>
                <w:sz w:val="17"/>
                <w:szCs w:val="17"/>
              </w:rPr>
              <w:t xml:space="preserve">NCIE-011.</w:t>
            </w:r>
          </w:p>
        </w:tc>
        <w:tc>
          <w:tcPr>
            <w:tcW w:type="dxa" w:w="2400"/>
            <w:tcMar>
              <w:top w:type="dxa" w:w="60"/>
              <w:left w:type="dxa" w:w="80"/>
              <w:bottom w:type="dxa" w:w="60"/>
              <w:right w:type="dxa" w:w="80"/>
            </w:tcMar>
          </w:tcPr>
          <w:p>
            <w:r>
              <w:rPr>
                <w:b w:val="false"/>
                <w:bCs w:val="false"/>
                <w:sz w:val="17"/>
                <w:szCs w:val="17"/>
              </w:rPr>
              <w:t xml:space="preserve">HR15-16-1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17</w:t>
            </w:r>
          </w:p>
        </w:tc>
        <w:tc>
          <w:tcPr>
            <w:tcW w:type="dxa" w:w="3200"/>
            <w:tcMar>
              <w:top w:type="dxa" w:w="60"/>
              <w:left w:type="dxa" w:w="80"/>
              <w:bottom w:type="dxa" w:w="60"/>
              <w:right w:type="dxa" w:w="80"/>
            </w:tcMar>
          </w:tcPr>
          <w:p>
            <w:r>
              <w:rPr>
                <w:b w:val="false"/>
                <w:bCs w:val="false"/>
                <w:sz w:val="17"/>
                <w:szCs w:val="17"/>
              </w:rPr>
              <w:t xml:space="preserve">ARGUS, Model Gateway, Tool Gateway &amp; VPF operations; HR focus: service/on-call ownership.</w:t>
            </w:r>
          </w:p>
        </w:tc>
        <w:tc>
          <w:tcPr>
            <w:tcW w:type="dxa" w:w="2600"/>
            <w:tcMar>
              <w:top w:type="dxa" w:w="60"/>
              <w:left w:type="dxa" w:w="80"/>
              <w:bottom w:type="dxa" w:w="60"/>
              <w:right w:type="dxa" w:w="80"/>
            </w:tcMar>
          </w:tcPr>
          <w:p>
            <w:r>
              <w:rPr>
                <w:b w:val="false"/>
                <w:bCs w:val="false"/>
                <w:sz w:val="17"/>
                <w:szCs w:val="17"/>
              </w:rPr>
              <w:t xml:space="preserve">§17.1-17.2, Table 21 (RACI), HR15-17-1.</w:t>
            </w:r>
          </w:p>
        </w:tc>
        <w:tc>
          <w:tcPr>
            <w:tcW w:type="dxa" w:w="2400"/>
            <w:tcMar>
              <w:top w:type="dxa" w:w="60"/>
              <w:left w:type="dxa" w:w="80"/>
              <w:bottom w:type="dxa" w:w="60"/>
              <w:right w:type="dxa" w:w="80"/>
            </w:tcMar>
          </w:tcPr>
          <w:p>
            <w:r>
              <w:rPr>
                <w:b w:val="false"/>
                <w:bCs w:val="false"/>
                <w:sz w:val="17"/>
                <w:szCs w:val="17"/>
              </w:rPr>
              <w:t xml:space="preserve">NCIE-005/007/009/011.</w:t>
            </w:r>
          </w:p>
        </w:tc>
        <w:tc>
          <w:tcPr>
            <w:tcW w:type="dxa" w:w="2400"/>
            <w:tcMar>
              <w:top w:type="dxa" w:w="60"/>
              <w:left w:type="dxa" w:w="80"/>
              <w:bottom w:type="dxa" w:w="60"/>
              <w:right w:type="dxa" w:w="80"/>
            </w:tcMar>
          </w:tcPr>
          <w:p>
            <w:r>
              <w:rPr>
                <w:b w:val="false"/>
                <w:bCs w:val="false"/>
                <w:sz w:val="17"/>
                <w:szCs w:val="17"/>
              </w:rPr>
              <w:t xml:space="preserve">HR15-17-1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18</w:t>
            </w:r>
          </w:p>
        </w:tc>
        <w:tc>
          <w:tcPr>
            <w:tcW w:type="dxa" w:w="3200"/>
            <w:tcMar>
              <w:top w:type="dxa" w:w="60"/>
              <w:left w:type="dxa" w:w="80"/>
              <w:bottom w:type="dxa" w:w="60"/>
              <w:right w:type="dxa" w:w="80"/>
            </w:tcMar>
          </w:tcPr>
          <w:p>
            <w:r>
              <w:rPr>
                <w:b w:val="false"/>
                <w:bCs w:val="false"/>
                <w:sz w:val="17"/>
                <w:szCs w:val="17"/>
              </w:rPr>
              <w:t xml:space="preserve">Functional module operations; HR focus: module support ownership.</w:t>
            </w:r>
          </w:p>
        </w:tc>
        <w:tc>
          <w:tcPr>
            <w:tcW w:type="dxa" w:w="2600"/>
            <w:tcMar>
              <w:top w:type="dxa" w:w="60"/>
              <w:left w:type="dxa" w:w="80"/>
              <w:bottom w:type="dxa" w:w="60"/>
              <w:right w:type="dxa" w:w="80"/>
            </w:tcMar>
          </w:tcPr>
          <w:p>
            <w:r>
              <w:rPr>
                <w:b w:val="false"/>
                <w:bCs w:val="false"/>
                <w:sz w:val="17"/>
                <w:szCs w:val="17"/>
              </w:rPr>
              <w:t xml:space="preserve">§18.1-18.2, Table 22 (RACI), HR15-18-1.</w:t>
            </w:r>
          </w:p>
        </w:tc>
        <w:tc>
          <w:tcPr>
            <w:tcW w:type="dxa" w:w="2400"/>
            <w:tcMar>
              <w:top w:type="dxa" w:w="60"/>
              <w:left w:type="dxa" w:w="80"/>
              <w:bottom w:type="dxa" w:w="60"/>
              <w:right w:type="dxa" w:w="80"/>
            </w:tcMar>
          </w:tcPr>
          <w:p>
            <w:r>
              <w:rPr>
                <w:b w:val="false"/>
                <w:bCs w:val="false"/>
                <w:sz w:val="17"/>
                <w:szCs w:val="17"/>
              </w:rPr>
              <w:t xml:space="preserve">NCIE-013.</w:t>
            </w:r>
          </w:p>
        </w:tc>
        <w:tc>
          <w:tcPr>
            <w:tcW w:type="dxa" w:w="2400"/>
            <w:tcMar>
              <w:top w:type="dxa" w:w="60"/>
              <w:left w:type="dxa" w:w="80"/>
              <w:bottom w:type="dxa" w:w="60"/>
              <w:right w:type="dxa" w:w="80"/>
            </w:tcMar>
          </w:tcPr>
          <w:p>
            <w:r>
              <w:rPr>
                <w:b w:val="false"/>
                <w:bCs w:val="false"/>
                <w:sz w:val="17"/>
                <w:szCs w:val="17"/>
              </w:rPr>
              <w:t xml:space="preserve">HR15-18-1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19</w:t>
            </w:r>
          </w:p>
        </w:tc>
        <w:tc>
          <w:tcPr>
            <w:tcW w:type="dxa" w:w="3200"/>
            <w:tcMar>
              <w:top w:type="dxa" w:w="60"/>
              <w:left w:type="dxa" w:w="80"/>
              <w:bottom w:type="dxa" w:w="60"/>
              <w:right w:type="dxa" w:w="80"/>
            </w:tcMar>
          </w:tcPr>
          <w:p>
            <w:r>
              <w:rPr>
                <w:b w:val="false"/>
                <w:bCs w:val="false"/>
                <w:sz w:val="17"/>
                <w:szCs w:val="17"/>
              </w:rPr>
              <w:t xml:space="preserve">UX/frontend delivery operations; HR focus: frontend topology.</w:t>
            </w:r>
          </w:p>
        </w:tc>
        <w:tc>
          <w:tcPr>
            <w:tcW w:type="dxa" w:w="2600"/>
            <w:tcMar>
              <w:top w:type="dxa" w:w="60"/>
              <w:left w:type="dxa" w:w="80"/>
              <w:bottom w:type="dxa" w:w="60"/>
              <w:right w:type="dxa" w:w="80"/>
            </w:tcMar>
          </w:tcPr>
          <w:p>
            <w:r>
              <w:rPr>
                <w:b w:val="false"/>
                <w:bCs w:val="false"/>
                <w:sz w:val="17"/>
                <w:szCs w:val="17"/>
              </w:rPr>
              <w:t xml:space="preserve">§19.1-19.2, Table 23 (RACI), HR15-19-1.</w:t>
            </w:r>
          </w:p>
        </w:tc>
        <w:tc>
          <w:tcPr>
            <w:tcW w:type="dxa" w:w="2400"/>
            <w:tcMar>
              <w:top w:type="dxa" w:w="60"/>
              <w:left w:type="dxa" w:w="80"/>
              <w:bottom w:type="dxa" w:w="60"/>
              <w:right w:type="dxa" w:w="80"/>
            </w:tcMar>
          </w:tcPr>
          <w:p>
            <w:r>
              <w:rPr>
                <w:b w:val="false"/>
                <w:bCs w:val="false"/>
                <w:sz w:val="17"/>
                <w:szCs w:val="17"/>
              </w:rPr>
              <w:t xml:space="preserve">NCIE-012/009/011.</w:t>
            </w:r>
          </w:p>
        </w:tc>
        <w:tc>
          <w:tcPr>
            <w:tcW w:type="dxa" w:w="2400"/>
            <w:tcMar>
              <w:top w:type="dxa" w:w="60"/>
              <w:left w:type="dxa" w:w="80"/>
              <w:bottom w:type="dxa" w:w="60"/>
              <w:right w:type="dxa" w:w="80"/>
            </w:tcMar>
          </w:tcPr>
          <w:p>
            <w:r>
              <w:rPr>
                <w:b w:val="false"/>
                <w:bCs w:val="false"/>
                <w:sz w:val="17"/>
                <w:szCs w:val="17"/>
              </w:rPr>
              <w:t xml:space="preserve">HR15-19-1 classified ENGINEERING/INFRASTRUCTURE DISCOVERY REQUIRED,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20</w:t>
            </w:r>
          </w:p>
        </w:tc>
        <w:tc>
          <w:tcPr>
            <w:tcW w:type="dxa" w:w="3200"/>
            <w:tcMar>
              <w:top w:type="dxa" w:w="60"/>
              <w:left w:type="dxa" w:w="80"/>
              <w:bottom w:type="dxa" w:w="60"/>
              <w:right w:type="dxa" w:w="80"/>
            </w:tcMar>
          </w:tcPr>
          <w:p>
            <w:r>
              <w:rPr>
                <w:b w:val="false"/>
                <w:bCs w:val="false"/>
                <w:sz w:val="17"/>
                <w:szCs w:val="17"/>
              </w:rPr>
              <w:t xml:space="preserve">Observability architecture &amp; telemetry operations; HR focus: observability platform/retention.</w:t>
            </w:r>
          </w:p>
        </w:tc>
        <w:tc>
          <w:tcPr>
            <w:tcW w:type="dxa" w:w="2600"/>
            <w:tcMar>
              <w:top w:type="dxa" w:w="60"/>
              <w:left w:type="dxa" w:w="80"/>
              <w:bottom w:type="dxa" w:w="60"/>
              <w:right w:type="dxa" w:w="80"/>
            </w:tcMar>
          </w:tcPr>
          <w:p>
            <w:r>
              <w:rPr>
                <w:b w:val="false"/>
                <w:bCs w:val="false"/>
                <w:sz w:val="17"/>
                <w:szCs w:val="17"/>
              </w:rPr>
              <w:t xml:space="preserve">§20.1-20.3, Table 24 Observability Matrix (item 62), Table 25 (RACI), HR15-20-1.</w:t>
            </w:r>
          </w:p>
        </w:tc>
        <w:tc>
          <w:tcPr>
            <w:tcW w:type="dxa" w:w="2400"/>
            <w:tcMar>
              <w:top w:type="dxa" w:w="60"/>
              <w:left w:type="dxa" w:w="80"/>
              <w:bottom w:type="dxa" w:w="60"/>
              <w:right w:type="dxa" w:w="80"/>
            </w:tcMar>
          </w:tcPr>
          <w:p>
            <w:r>
              <w:rPr>
                <w:b w:val="false"/>
                <w:bCs w:val="false"/>
                <w:sz w:val="17"/>
                <w:szCs w:val="17"/>
              </w:rPr>
              <w:t xml:space="preserve">NCIE-004/009/010.</w:t>
            </w:r>
          </w:p>
        </w:tc>
        <w:tc>
          <w:tcPr>
            <w:tcW w:type="dxa" w:w="2400"/>
            <w:tcMar>
              <w:top w:type="dxa" w:w="60"/>
              <w:left w:type="dxa" w:w="80"/>
              <w:bottom w:type="dxa" w:w="60"/>
              <w:right w:type="dxa" w:w="80"/>
            </w:tcMar>
          </w:tcPr>
          <w:p>
            <w:r>
              <w:rPr>
                <w:b w:val="false"/>
                <w:bCs w:val="false"/>
                <w:sz w:val="17"/>
                <w:szCs w:val="17"/>
              </w:rPr>
              <w:t xml:space="preserve">HR15-20-1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21</w:t>
            </w:r>
          </w:p>
        </w:tc>
        <w:tc>
          <w:tcPr>
            <w:tcW w:type="dxa" w:w="3200"/>
            <w:tcMar>
              <w:top w:type="dxa" w:w="60"/>
              <w:left w:type="dxa" w:w="80"/>
              <w:bottom w:type="dxa" w:w="60"/>
              <w:right w:type="dxa" w:w="80"/>
            </w:tcMar>
          </w:tcPr>
          <w:p>
            <w:r>
              <w:rPr>
                <w:b w:val="false"/>
                <w:bCs w:val="false"/>
                <w:sz w:val="17"/>
                <w:szCs w:val="17"/>
              </w:rPr>
              <w:t xml:space="preserve">SLOs, indicators &amp; error budgets; HR focus: SLO catalogue/targets.</w:t>
            </w:r>
          </w:p>
        </w:tc>
        <w:tc>
          <w:tcPr>
            <w:tcW w:type="dxa" w:w="2600"/>
            <w:tcMar>
              <w:top w:type="dxa" w:w="60"/>
              <w:left w:type="dxa" w:w="80"/>
              <w:bottom w:type="dxa" w:w="60"/>
              <w:right w:type="dxa" w:w="80"/>
            </w:tcMar>
          </w:tcPr>
          <w:p>
            <w:r>
              <w:rPr>
                <w:b w:val="false"/>
                <w:bCs w:val="false"/>
                <w:sz w:val="17"/>
                <w:szCs w:val="17"/>
              </w:rPr>
              <w:t xml:space="preserve">§21.1-21.2, Table 26 (RACI), HR15-21-1.</w:t>
            </w:r>
          </w:p>
        </w:tc>
        <w:tc>
          <w:tcPr>
            <w:tcW w:type="dxa" w:w="2400"/>
            <w:tcMar>
              <w:top w:type="dxa" w:w="60"/>
              <w:left w:type="dxa" w:w="80"/>
              <w:bottom w:type="dxa" w:w="60"/>
              <w:right w:type="dxa" w:w="80"/>
            </w:tcMar>
          </w:tcPr>
          <w:p>
            <w:r>
              <w:rPr>
                <w:b w:val="false"/>
                <w:bCs w:val="false"/>
                <w:sz w:val="17"/>
                <w:szCs w:val="17"/>
              </w:rPr>
              <w:t xml:space="preserve">NCIE-002/004/013/014.</w:t>
            </w:r>
          </w:p>
        </w:tc>
        <w:tc>
          <w:tcPr>
            <w:tcW w:type="dxa" w:w="2400"/>
            <w:tcMar>
              <w:top w:type="dxa" w:w="60"/>
              <w:left w:type="dxa" w:w="80"/>
              <w:bottom w:type="dxa" w:w="60"/>
              <w:right w:type="dxa" w:w="80"/>
            </w:tcMar>
          </w:tcPr>
          <w:p>
            <w:r>
              <w:rPr>
                <w:b w:val="false"/>
                <w:bCs w:val="false"/>
                <w:sz w:val="17"/>
                <w:szCs w:val="17"/>
              </w:rPr>
              <w:t xml:space="preserve">HR15-21-1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22</w:t>
            </w:r>
          </w:p>
        </w:tc>
        <w:tc>
          <w:tcPr>
            <w:tcW w:type="dxa" w:w="3200"/>
            <w:tcMar>
              <w:top w:type="dxa" w:w="60"/>
              <w:left w:type="dxa" w:w="80"/>
              <w:bottom w:type="dxa" w:w="60"/>
              <w:right w:type="dxa" w:w="80"/>
            </w:tcMar>
          </w:tcPr>
          <w:p>
            <w:r>
              <w:rPr>
                <w:b w:val="false"/>
                <w:bCs w:val="false"/>
                <w:sz w:val="17"/>
                <w:szCs w:val="17"/>
              </w:rPr>
              <w:t xml:space="preserve">Alerting, on-call &amp; operational escalation; HR focus: on-call/thresholds.</w:t>
            </w:r>
          </w:p>
        </w:tc>
        <w:tc>
          <w:tcPr>
            <w:tcW w:type="dxa" w:w="2600"/>
            <w:tcMar>
              <w:top w:type="dxa" w:w="60"/>
              <w:left w:type="dxa" w:w="80"/>
              <w:bottom w:type="dxa" w:w="60"/>
              <w:right w:type="dxa" w:w="80"/>
            </w:tcMar>
          </w:tcPr>
          <w:p>
            <w:r>
              <w:rPr>
                <w:b w:val="false"/>
                <w:bCs w:val="false"/>
                <w:sz w:val="17"/>
                <w:szCs w:val="17"/>
              </w:rPr>
              <w:t xml:space="preserve">§22.1-22.2, Table 27 (RACI), HR15-22-1.</w:t>
            </w:r>
          </w:p>
        </w:tc>
        <w:tc>
          <w:tcPr>
            <w:tcW w:type="dxa" w:w="2400"/>
            <w:tcMar>
              <w:top w:type="dxa" w:w="60"/>
              <w:left w:type="dxa" w:w="80"/>
              <w:bottom w:type="dxa" w:w="60"/>
              <w:right w:type="dxa" w:w="80"/>
            </w:tcMar>
          </w:tcPr>
          <w:p>
            <w:r>
              <w:rPr>
                <w:b w:val="false"/>
                <w:bCs w:val="false"/>
                <w:sz w:val="17"/>
                <w:szCs w:val="17"/>
              </w:rPr>
              <w:t xml:space="preserve">NCIE-004/008/012.</w:t>
            </w:r>
          </w:p>
        </w:tc>
        <w:tc>
          <w:tcPr>
            <w:tcW w:type="dxa" w:w="2400"/>
            <w:tcMar>
              <w:top w:type="dxa" w:w="60"/>
              <w:left w:type="dxa" w:w="80"/>
              <w:bottom w:type="dxa" w:w="60"/>
              <w:right w:type="dxa" w:w="80"/>
            </w:tcMar>
          </w:tcPr>
          <w:p>
            <w:r>
              <w:rPr>
                <w:b w:val="false"/>
                <w:bCs w:val="false"/>
                <w:sz w:val="17"/>
                <w:szCs w:val="17"/>
              </w:rPr>
              <w:t xml:space="preserve">HR15-22-1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23</w:t>
            </w:r>
          </w:p>
        </w:tc>
        <w:tc>
          <w:tcPr>
            <w:tcW w:type="dxa" w:w="3200"/>
            <w:tcMar>
              <w:top w:type="dxa" w:w="60"/>
              <w:left w:type="dxa" w:w="80"/>
              <w:bottom w:type="dxa" w:w="60"/>
              <w:right w:type="dxa" w:w="80"/>
            </w:tcMar>
          </w:tcPr>
          <w:p>
            <w:r>
              <w:rPr>
                <w:b w:val="false"/>
                <w:bCs w:val="false"/>
                <w:sz w:val="17"/>
                <w:szCs w:val="17"/>
              </w:rPr>
              <w:t xml:space="preserve">Incident management &amp; command; HR focus: incident authority/severity.</w:t>
            </w:r>
          </w:p>
        </w:tc>
        <w:tc>
          <w:tcPr>
            <w:tcW w:type="dxa" w:w="2600"/>
            <w:tcMar>
              <w:top w:type="dxa" w:w="60"/>
              <w:left w:type="dxa" w:w="80"/>
              <w:bottom w:type="dxa" w:w="60"/>
              <w:right w:type="dxa" w:w="80"/>
            </w:tcMar>
          </w:tcPr>
          <w:p>
            <w:r>
              <w:rPr>
                <w:b w:val="false"/>
                <w:bCs w:val="false"/>
                <w:sz w:val="17"/>
                <w:szCs w:val="17"/>
              </w:rPr>
              <w:t xml:space="preserve">§23.1-23.3, Table 28 Incident/Recovery Matrix (item 61), Table 29 (RACI), HR15-23-1.</w:t>
            </w:r>
          </w:p>
        </w:tc>
        <w:tc>
          <w:tcPr>
            <w:tcW w:type="dxa" w:w="2400"/>
            <w:tcMar>
              <w:top w:type="dxa" w:w="60"/>
              <w:left w:type="dxa" w:w="80"/>
              <w:bottom w:type="dxa" w:w="60"/>
              <w:right w:type="dxa" w:w="80"/>
            </w:tcMar>
          </w:tcPr>
          <w:p>
            <w:r>
              <w:rPr>
                <w:b w:val="false"/>
                <w:bCs w:val="false"/>
                <w:sz w:val="17"/>
                <w:szCs w:val="17"/>
              </w:rPr>
              <w:t xml:space="preserve">NCIE-009/008/010.</w:t>
            </w:r>
          </w:p>
        </w:tc>
        <w:tc>
          <w:tcPr>
            <w:tcW w:type="dxa" w:w="2400"/>
            <w:tcMar>
              <w:top w:type="dxa" w:w="60"/>
              <w:left w:type="dxa" w:w="80"/>
              <w:bottom w:type="dxa" w:w="60"/>
              <w:right w:type="dxa" w:w="80"/>
            </w:tcMar>
          </w:tcPr>
          <w:p>
            <w:r>
              <w:rPr>
                <w:b w:val="false"/>
                <w:bCs w:val="false"/>
                <w:sz w:val="17"/>
                <w:szCs w:val="17"/>
              </w:rPr>
              <w:t xml:space="preserve">HR15-23-1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24</w:t>
            </w:r>
          </w:p>
        </w:tc>
        <w:tc>
          <w:tcPr>
            <w:tcW w:type="dxa" w:w="3200"/>
            <w:tcMar>
              <w:top w:type="dxa" w:w="60"/>
              <w:left w:type="dxa" w:w="80"/>
              <w:bottom w:type="dxa" w:w="60"/>
              <w:right w:type="dxa" w:w="80"/>
            </w:tcMar>
          </w:tcPr>
          <w:p>
            <w:r>
              <w:rPr>
                <w:b w:val="false"/>
                <w:bCs w:val="false"/>
                <w:sz w:val="17"/>
                <w:szCs w:val="17"/>
              </w:rPr>
              <w:t xml:space="preserve">Runbooks, playbooks &amp; operational procedures; HR focus: runbook ownership/automation.</w:t>
            </w:r>
          </w:p>
        </w:tc>
        <w:tc>
          <w:tcPr>
            <w:tcW w:type="dxa" w:w="2600"/>
            <w:tcMar>
              <w:top w:type="dxa" w:w="60"/>
              <w:left w:type="dxa" w:w="80"/>
              <w:bottom w:type="dxa" w:w="60"/>
              <w:right w:type="dxa" w:w="80"/>
            </w:tcMar>
          </w:tcPr>
          <w:p>
            <w:r>
              <w:rPr>
                <w:b w:val="false"/>
                <w:bCs w:val="false"/>
                <w:sz w:val="17"/>
                <w:szCs w:val="17"/>
              </w:rPr>
              <w:t xml:space="preserve">§24.1-24.3, Table 30 Runbook Matrix (item 60), Table 31 (RACI), HR15-24-1.</w:t>
            </w:r>
          </w:p>
        </w:tc>
        <w:tc>
          <w:tcPr>
            <w:tcW w:type="dxa" w:w="2400"/>
            <w:tcMar>
              <w:top w:type="dxa" w:w="60"/>
              <w:left w:type="dxa" w:w="80"/>
              <w:bottom w:type="dxa" w:w="60"/>
              <w:right w:type="dxa" w:w="80"/>
            </w:tcMar>
          </w:tcPr>
          <w:p>
            <w:r>
              <w:rPr>
                <w:b w:val="false"/>
                <w:bCs w:val="false"/>
                <w:sz w:val="17"/>
                <w:szCs w:val="17"/>
              </w:rPr>
              <w:t xml:space="preserve">NCIE-009-014 handovers.</w:t>
            </w:r>
          </w:p>
        </w:tc>
        <w:tc>
          <w:tcPr>
            <w:tcW w:type="dxa" w:w="2400"/>
            <w:tcMar>
              <w:top w:type="dxa" w:w="60"/>
              <w:left w:type="dxa" w:w="80"/>
              <w:bottom w:type="dxa" w:w="60"/>
              <w:right w:type="dxa" w:w="80"/>
            </w:tcMar>
          </w:tcPr>
          <w:p>
            <w:r>
              <w:rPr>
                <w:b w:val="false"/>
                <w:bCs w:val="false"/>
                <w:sz w:val="17"/>
                <w:szCs w:val="17"/>
              </w:rPr>
              <w:t xml:space="preserve">HR15-24-1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25</w:t>
            </w:r>
          </w:p>
        </w:tc>
        <w:tc>
          <w:tcPr>
            <w:tcW w:type="dxa" w:w="3200"/>
            <w:tcMar>
              <w:top w:type="dxa" w:w="60"/>
              <w:left w:type="dxa" w:w="80"/>
              <w:bottom w:type="dxa" w:w="60"/>
              <w:right w:type="dxa" w:w="80"/>
            </w:tcMar>
          </w:tcPr>
          <w:p>
            <w:r>
              <w:rPr>
                <w:b w:val="false"/>
                <w:bCs w:val="false"/>
                <w:sz w:val="17"/>
                <w:szCs w:val="17"/>
              </w:rPr>
              <w:t xml:space="preserve">Change, maintenance &amp; emergency operations; HR focus: classes/windows/emergency authority.</w:t>
            </w:r>
          </w:p>
        </w:tc>
        <w:tc>
          <w:tcPr>
            <w:tcW w:type="dxa" w:w="2600"/>
            <w:tcMar>
              <w:top w:type="dxa" w:w="60"/>
              <w:left w:type="dxa" w:w="80"/>
              <w:bottom w:type="dxa" w:w="60"/>
              <w:right w:type="dxa" w:w="80"/>
            </w:tcMar>
          </w:tcPr>
          <w:p>
            <w:r>
              <w:rPr>
                <w:b w:val="false"/>
                <w:bCs w:val="false"/>
                <w:sz w:val="17"/>
                <w:szCs w:val="17"/>
              </w:rPr>
              <w:t xml:space="preserve">§25.1-25.2, Table 32 (RACI), HR15-25-1.</w:t>
            </w:r>
          </w:p>
        </w:tc>
        <w:tc>
          <w:tcPr>
            <w:tcW w:type="dxa" w:w="2400"/>
            <w:tcMar>
              <w:top w:type="dxa" w:w="60"/>
              <w:left w:type="dxa" w:w="80"/>
              <w:bottom w:type="dxa" w:w="60"/>
              <w:right w:type="dxa" w:w="80"/>
            </w:tcMar>
          </w:tcPr>
          <w:p>
            <w:r>
              <w:rPr>
                <w:b w:val="false"/>
                <w:bCs w:val="false"/>
                <w:sz w:val="17"/>
                <w:szCs w:val="17"/>
              </w:rPr>
              <w:t xml:space="preserve">NCIE-008/009.</w:t>
            </w:r>
          </w:p>
        </w:tc>
        <w:tc>
          <w:tcPr>
            <w:tcW w:type="dxa" w:w="2400"/>
            <w:tcMar>
              <w:top w:type="dxa" w:w="60"/>
              <w:left w:type="dxa" w:w="80"/>
              <w:bottom w:type="dxa" w:w="60"/>
              <w:right w:type="dxa" w:w="80"/>
            </w:tcMar>
          </w:tcPr>
          <w:p>
            <w:r>
              <w:rPr>
                <w:b w:val="false"/>
                <w:bCs w:val="false"/>
                <w:sz w:val="17"/>
                <w:szCs w:val="17"/>
              </w:rPr>
              <w:t xml:space="preserve">HR15-25-1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26</w:t>
            </w:r>
          </w:p>
        </w:tc>
        <w:tc>
          <w:tcPr>
            <w:tcW w:type="dxa" w:w="3200"/>
            <w:tcMar>
              <w:top w:type="dxa" w:w="60"/>
              <w:left w:type="dxa" w:w="80"/>
              <w:bottom w:type="dxa" w:w="60"/>
              <w:right w:type="dxa" w:w="80"/>
            </w:tcMar>
          </w:tcPr>
          <w:p>
            <w:r>
              <w:rPr>
                <w:b w:val="false"/>
                <w:bCs w:val="false"/>
                <w:sz w:val="17"/>
                <w:szCs w:val="17"/>
              </w:rPr>
              <w:t xml:space="preserve">Capacity, scaling &amp; performance operations; HR focus: targets/limits.</w:t>
            </w:r>
          </w:p>
        </w:tc>
        <w:tc>
          <w:tcPr>
            <w:tcW w:type="dxa" w:w="2600"/>
            <w:tcMar>
              <w:top w:type="dxa" w:w="60"/>
              <w:left w:type="dxa" w:w="80"/>
              <w:bottom w:type="dxa" w:w="60"/>
              <w:right w:type="dxa" w:w="80"/>
            </w:tcMar>
          </w:tcPr>
          <w:p>
            <w:r>
              <w:rPr>
                <w:b w:val="false"/>
                <w:bCs w:val="false"/>
                <w:sz w:val="17"/>
                <w:szCs w:val="17"/>
              </w:rPr>
              <w:t xml:space="preserve">§26.1-26.2, Table 33 (RACI), HR15-26-1.</w:t>
            </w:r>
          </w:p>
        </w:tc>
        <w:tc>
          <w:tcPr>
            <w:tcW w:type="dxa" w:w="2400"/>
            <w:tcMar>
              <w:top w:type="dxa" w:w="60"/>
              <w:left w:type="dxa" w:w="80"/>
              <w:bottom w:type="dxa" w:w="60"/>
              <w:right w:type="dxa" w:w="80"/>
            </w:tcMar>
          </w:tcPr>
          <w:p>
            <w:r>
              <w:rPr>
                <w:b w:val="false"/>
                <w:bCs w:val="false"/>
                <w:sz w:val="17"/>
                <w:szCs w:val="17"/>
              </w:rPr>
              <w:t xml:space="preserve">NCIE-002/004/014.</w:t>
            </w:r>
          </w:p>
        </w:tc>
        <w:tc>
          <w:tcPr>
            <w:tcW w:type="dxa" w:w="2400"/>
            <w:tcMar>
              <w:top w:type="dxa" w:w="60"/>
              <w:left w:type="dxa" w:w="80"/>
              <w:bottom w:type="dxa" w:w="60"/>
              <w:right w:type="dxa" w:w="80"/>
            </w:tcMar>
          </w:tcPr>
          <w:p>
            <w:r>
              <w:rPr>
                <w:b w:val="false"/>
                <w:bCs w:val="false"/>
                <w:sz w:val="17"/>
                <w:szCs w:val="17"/>
              </w:rPr>
              <w:t xml:space="preserve">HR15-26-1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27</w:t>
            </w:r>
          </w:p>
        </w:tc>
        <w:tc>
          <w:tcPr>
            <w:tcW w:type="dxa" w:w="3200"/>
            <w:tcMar>
              <w:top w:type="dxa" w:w="60"/>
              <w:left w:type="dxa" w:w="80"/>
              <w:bottom w:type="dxa" w:w="60"/>
              <w:right w:type="dxa" w:w="80"/>
            </w:tcMar>
          </w:tcPr>
          <w:p>
            <w:r>
              <w:rPr>
                <w:b w:val="false"/>
                <w:bCs w:val="false"/>
                <w:sz w:val="17"/>
                <w:szCs w:val="17"/>
              </w:rPr>
              <w:t xml:space="preserve">Backup, restore &amp; data-protection operations; HR focus: schedule/RPO/RTO/authority.</w:t>
            </w:r>
          </w:p>
        </w:tc>
        <w:tc>
          <w:tcPr>
            <w:tcW w:type="dxa" w:w="2600"/>
            <w:tcMar>
              <w:top w:type="dxa" w:w="60"/>
              <w:left w:type="dxa" w:w="80"/>
              <w:bottom w:type="dxa" w:w="60"/>
              <w:right w:type="dxa" w:w="80"/>
            </w:tcMar>
          </w:tcPr>
          <w:p>
            <w:r>
              <w:rPr>
                <w:b w:val="false"/>
                <w:bCs w:val="false"/>
                <w:sz w:val="17"/>
                <w:szCs w:val="17"/>
              </w:rPr>
              <w:t xml:space="preserve">§27.1-27.2, Table 34 (RACI), HR15-27-1.</w:t>
            </w:r>
          </w:p>
        </w:tc>
        <w:tc>
          <w:tcPr>
            <w:tcW w:type="dxa" w:w="2400"/>
            <w:tcMar>
              <w:top w:type="dxa" w:w="60"/>
              <w:left w:type="dxa" w:w="80"/>
              <w:bottom w:type="dxa" w:w="60"/>
              <w:right w:type="dxa" w:w="80"/>
            </w:tcMar>
          </w:tcPr>
          <w:p>
            <w:r>
              <w:rPr>
                <w:b w:val="false"/>
                <w:bCs w:val="false"/>
                <w:sz w:val="17"/>
                <w:szCs w:val="17"/>
              </w:rPr>
              <w:t xml:space="preserve">NCIE-014/009/010.</w:t>
            </w:r>
          </w:p>
        </w:tc>
        <w:tc>
          <w:tcPr>
            <w:tcW w:type="dxa" w:w="2400"/>
            <w:tcMar>
              <w:top w:type="dxa" w:w="60"/>
              <w:left w:type="dxa" w:w="80"/>
              <w:bottom w:type="dxa" w:w="60"/>
              <w:right w:type="dxa" w:w="80"/>
            </w:tcMar>
          </w:tcPr>
          <w:p>
            <w:r>
              <w:rPr>
                <w:b w:val="false"/>
                <w:bCs w:val="false"/>
                <w:sz w:val="17"/>
                <w:szCs w:val="17"/>
              </w:rPr>
              <w:t xml:space="preserve">HR15-27-1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28</w:t>
            </w:r>
          </w:p>
        </w:tc>
        <w:tc>
          <w:tcPr>
            <w:tcW w:type="dxa" w:w="3200"/>
            <w:tcMar>
              <w:top w:type="dxa" w:w="60"/>
              <w:left w:type="dxa" w:w="80"/>
              <w:bottom w:type="dxa" w:w="60"/>
              <w:right w:type="dxa" w:w="80"/>
            </w:tcMar>
          </w:tcPr>
          <w:p>
            <w:r>
              <w:rPr>
                <w:b w:val="false"/>
                <w:bCs w:val="false"/>
                <w:sz w:val="17"/>
                <w:szCs w:val="17"/>
              </w:rPr>
              <w:t xml:space="preserve">Disaster recovery, failover &amp; business continuity operations; HR focus: DR authority/topology/cadence.</w:t>
            </w:r>
          </w:p>
        </w:tc>
        <w:tc>
          <w:tcPr>
            <w:tcW w:type="dxa" w:w="2600"/>
            <w:tcMar>
              <w:top w:type="dxa" w:w="60"/>
              <w:left w:type="dxa" w:w="80"/>
              <w:bottom w:type="dxa" w:w="60"/>
              <w:right w:type="dxa" w:w="80"/>
            </w:tcMar>
          </w:tcPr>
          <w:p>
            <w:r>
              <w:rPr>
                <w:b w:val="false"/>
                <w:bCs w:val="false"/>
                <w:sz w:val="17"/>
                <w:szCs w:val="17"/>
              </w:rPr>
              <w:t xml:space="preserve">§28.1-28.2, Table 35 (RACI), HR15-28-1.</w:t>
            </w:r>
          </w:p>
        </w:tc>
        <w:tc>
          <w:tcPr>
            <w:tcW w:type="dxa" w:w="2400"/>
            <w:tcMar>
              <w:top w:type="dxa" w:w="60"/>
              <w:left w:type="dxa" w:w="80"/>
              <w:bottom w:type="dxa" w:w="60"/>
              <w:right w:type="dxa" w:w="80"/>
            </w:tcMar>
          </w:tcPr>
          <w:p>
            <w:r>
              <w:rPr>
                <w:b w:val="false"/>
                <w:bCs w:val="false"/>
                <w:sz w:val="17"/>
                <w:szCs w:val="17"/>
              </w:rPr>
              <w:t xml:space="preserve">NCIE-004/014/009.</w:t>
            </w:r>
          </w:p>
        </w:tc>
        <w:tc>
          <w:tcPr>
            <w:tcW w:type="dxa" w:w="2400"/>
            <w:tcMar>
              <w:top w:type="dxa" w:w="60"/>
              <w:left w:type="dxa" w:w="80"/>
              <w:bottom w:type="dxa" w:w="60"/>
              <w:right w:type="dxa" w:w="80"/>
            </w:tcMar>
          </w:tcPr>
          <w:p>
            <w:r>
              <w:rPr>
                <w:b w:val="false"/>
                <w:bCs w:val="false"/>
                <w:sz w:val="17"/>
                <w:szCs w:val="17"/>
              </w:rPr>
              <w:t xml:space="preserve">HR15-28-1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29</w:t>
            </w:r>
          </w:p>
        </w:tc>
        <w:tc>
          <w:tcPr>
            <w:tcW w:type="dxa" w:w="3200"/>
            <w:tcMar>
              <w:top w:type="dxa" w:w="60"/>
              <w:left w:type="dxa" w:w="80"/>
              <w:bottom w:type="dxa" w:w="60"/>
              <w:right w:type="dxa" w:w="80"/>
            </w:tcMar>
          </w:tcPr>
          <w:p>
            <w:r>
              <w:rPr>
                <w:b w:val="false"/>
                <w:bCs w:val="false"/>
                <w:sz w:val="17"/>
                <w:szCs w:val="17"/>
              </w:rPr>
              <w:t xml:space="preserve">Vulnerability, patch &amp; remediation operations; HR focus: remediation targets/risk interface.</w:t>
            </w:r>
          </w:p>
        </w:tc>
        <w:tc>
          <w:tcPr>
            <w:tcW w:type="dxa" w:w="2600"/>
            <w:tcMar>
              <w:top w:type="dxa" w:w="60"/>
              <w:left w:type="dxa" w:w="80"/>
              <w:bottom w:type="dxa" w:w="60"/>
              <w:right w:type="dxa" w:w="80"/>
            </w:tcMar>
          </w:tcPr>
          <w:p>
            <w:r>
              <w:rPr>
                <w:b w:val="false"/>
                <w:bCs w:val="false"/>
                <w:sz w:val="17"/>
                <w:szCs w:val="17"/>
              </w:rPr>
              <w:t xml:space="preserve">§29.1-29.2, Table 36 (RACI), HR15-29-1.</w:t>
            </w:r>
          </w:p>
        </w:tc>
        <w:tc>
          <w:tcPr>
            <w:tcW w:type="dxa" w:w="2400"/>
            <w:tcMar>
              <w:top w:type="dxa" w:w="60"/>
              <w:left w:type="dxa" w:w="80"/>
              <w:bottom w:type="dxa" w:w="60"/>
              <w:right w:type="dxa" w:w="80"/>
            </w:tcMar>
          </w:tcPr>
          <w:p>
            <w:r>
              <w:rPr>
                <w:b w:val="false"/>
                <w:bCs w:val="false"/>
                <w:sz w:val="17"/>
                <w:szCs w:val="17"/>
              </w:rPr>
              <w:t xml:space="preserve">NCIE-009/008/004.</w:t>
            </w:r>
          </w:p>
        </w:tc>
        <w:tc>
          <w:tcPr>
            <w:tcW w:type="dxa" w:w="2400"/>
            <w:tcMar>
              <w:top w:type="dxa" w:w="60"/>
              <w:left w:type="dxa" w:w="80"/>
              <w:bottom w:type="dxa" w:w="60"/>
              <w:right w:type="dxa" w:w="80"/>
            </w:tcMar>
          </w:tcPr>
          <w:p>
            <w:r>
              <w:rPr>
                <w:b w:val="false"/>
                <w:bCs w:val="false"/>
                <w:sz w:val="17"/>
                <w:szCs w:val="17"/>
              </w:rPr>
              <w:t xml:space="preserve">HR15-29-1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30</w:t>
            </w:r>
          </w:p>
        </w:tc>
        <w:tc>
          <w:tcPr>
            <w:tcW w:type="dxa" w:w="3200"/>
            <w:tcMar>
              <w:top w:type="dxa" w:w="60"/>
              <w:left w:type="dxa" w:w="80"/>
              <w:bottom w:type="dxa" w:w="60"/>
              <w:right w:type="dxa" w:w="80"/>
            </w:tcMar>
          </w:tcPr>
          <w:p>
            <w:r>
              <w:rPr>
                <w:b w:val="false"/>
                <w:bCs w:val="false"/>
                <w:sz w:val="17"/>
                <w:szCs w:val="17"/>
              </w:rPr>
              <w:t xml:space="preserve">Operational security monitoring &amp; response integration; HR focus: SecOps ownership/escalation.</w:t>
            </w:r>
          </w:p>
        </w:tc>
        <w:tc>
          <w:tcPr>
            <w:tcW w:type="dxa" w:w="2600"/>
            <w:tcMar>
              <w:top w:type="dxa" w:w="60"/>
              <w:left w:type="dxa" w:w="80"/>
              <w:bottom w:type="dxa" w:w="60"/>
              <w:right w:type="dxa" w:w="80"/>
            </w:tcMar>
          </w:tcPr>
          <w:p>
            <w:r>
              <w:rPr>
                <w:b w:val="false"/>
                <w:bCs w:val="false"/>
                <w:sz w:val="17"/>
                <w:szCs w:val="17"/>
              </w:rPr>
              <w:t xml:space="preserve">§30.1-30.2, Table 37 (RACI), HR15-30-1.</w:t>
            </w:r>
          </w:p>
        </w:tc>
        <w:tc>
          <w:tcPr>
            <w:tcW w:type="dxa" w:w="2400"/>
            <w:tcMar>
              <w:top w:type="dxa" w:w="60"/>
              <w:left w:type="dxa" w:w="80"/>
              <w:bottom w:type="dxa" w:w="60"/>
              <w:right w:type="dxa" w:w="80"/>
            </w:tcMar>
          </w:tcPr>
          <w:p>
            <w:r>
              <w:rPr>
                <w:b w:val="false"/>
                <w:bCs w:val="false"/>
                <w:sz w:val="17"/>
                <w:szCs w:val="17"/>
              </w:rPr>
              <w:t xml:space="preserve">NCIE-009/010.</w:t>
            </w:r>
          </w:p>
        </w:tc>
        <w:tc>
          <w:tcPr>
            <w:tcW w:type="dxa" w:w="2400"/>
            <w:tcMar>
              <w:top w:type="dxa" w:w="60"/>
              <w:left w:type="dxa" w:w="80"/>
              <w:bottom w:type="dxa" w:w="60"/>
              <w:right w:type="dxa" w:w="80"/>
            </w:tcMar>
          </w:tcPr>
          <w:p>
            <w:r>
              <w:rPr>
                <w:b w:val="false"/>
                <w:bCs w:val="false"/>
                <w:sz w:val="17"/>
                <w:szCs w:val="17"/>
              </w:rPr>
              <w:t xml:space="preserve">HR15-30-1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31</w:t>
            </w:r>
          </w:p>
        </w:tc>
        <w:tc>
          <w:tcPr>
            <w:tcW w:type="dxa" w:w="3200"/>
            <w:tcMar>
              <w:top w:type="dxa" w:w="60"/>
              <w:left w:type="dxa" w:w="80"/>
              <w:bottom w:type="dxa" w:w="60"/>
              <w:right w:type="dxa" w:w="80"/>
            </w:tcMar>
          </w:tcPr>
          <w:p>
            <w:r>
              <w:rPr>
                <w:b w:val="false"/>
                <w:bCs w:val="false"/>
                <w:sz w:val="17"/>
                <w:szCs w:val="17"/>
              </w:rPr>
              <w:t xml:space="preserve">Operational audit, Evidence &amp; change provenance; HR focus: record retention/access.</w:t>
            </w:r>
          </w:p>
        </w:tc>
        <w:tc>
          <w:tcPr>
            <w:tcW w:type="dxa" w:w="2600"/>
            <w:tcMar>
              <w:top w:type="dxa" w:w="60"/>
              <w:left w:type="dxa" w:w="80"/>
              <w:bottom w:type="dxa" w:w="60"/>
              <w:right w:type="dxa" w:w="80"/>
            </w:tcMar>
          </w:tcPr>
          <w:p>
            <w:r>
              <w:rPr>
                <w:b w:val="false"/>
                <w:bCs w:val="false"/>
                <w:sz w:val="17"/>
                <w:szCs w:val="17"/>
              </w:rPr>
              <w:t xml:space="preserve">§31.1-31.2, Table 38 (RACI), HR15-31-1.</w:t>
            </w:r>
          </w:p>
        </w:tc>
        <w:tc>
          <w:tcPr>
            <w:tcW w:type="dxa" w:w="2400"/>
            <w:tcMar>
              <w:top w:type="dxa" w:w="60"/>
              <w:left w:type="dxa" w:w="80"/>
              <w:bottom w:type="dxa" w:w="60"/>
              <w:right w:type="dxa" w:w="80"/>
            </w:tcMar>
          </w:tcPr>
          <w:p>
            <w:r>
              <w:rPr>
                <w:b w:val="false"/>
                <w:bCs w:val="false"/>
                <w:sz w:val="17"/>
                <w:szCs w:val="17"/>
              </w:rPr>
              <w:t xml:space="preserve">NCIE-010/008/011.</w:t>
            </w:r>
          </w:p>
        </w:tc>
        <w:tc>
          <w:tcPr>
            <w:tcW w:type="dxa" w:w="2400"/>
            <w:tcMar>
              <w:top w:type="dxa" w:w="60"/>
              <w:left w:type="dxa" w:w="80"/>
              <w:bottom w:type="dxa" w:w="60"/>
              <w:right w:type="dxa" w:w="80"/>
            </w:tcMar>
          </w:tcPr>
          <w:p>
            <w:r>
              <w:rPr>
                <w:b w:val="false"/>
                <w:bCs w:val="false"/>
                <w:sz w:val="17"/>
                <w:szCs w:val="17"/>
              </w:rPr>
              <w:t xml:space="preserve">HR15-31-1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32</w:t>
            </w:r>
          </w:p>
        </w:tc>
        <w:tc>
          <w:tcPr>
            <w:tcW w:type="dxa" w:w="3200"/>
            <w:tcMar>
              <w:top w:type="dxa" w:w="60"/>
              <w:left w:type="dxa" w:w="80"/>
              <w:bottom w:type="dxa" w:w="60"/>
              <w:right w:type="dxa" w:w="80"/>
            </w:tcMar>
          </w:tcPr>
          <w:p>
            <w:r>
              <w:rPr>
                <w:b w:val="false"/>
                <w:bCs w:val="false"/>
                <w:sz w:val="17"/>
                <w:szCs w:val="17"/>
              </w:rPr>
              <w:t xml:space="preserve">Operational reconciliation, drift &amp; configuration integrity; HR focus: auto-remediation boundaries.</w:t>
            </w:r>
          </w:p>
        </w:tc>
        <w:tc>
          <w:tcPr>
            <w:tcW w:type="dxa" w:w="2600"/>
            <w:tcMar>
              <w:top w:type="dxa" w:w="60"/>
              <w:left w:type="dxa" w:w="80"/>
              <w:bottom w:type="dxa" w:w="60"/>
              <w:right w:type="dxa" w:w="80"/>
            </w:tcMar>
          </w:tcPr>
          <w:p>
            <w:r>
              <w:rPr>
                <w:b w:val="false"/>
                <w:bCs w:val="false"/>
                <w:sz w:val="17"/>
                <w:szCs w:val="17"/>
              </w:rPr>
              <w:t xml:space="preserve">§32.1-32.2, Table 39 (RACI), HR15-32-1.</w:t>
            </w:r>
          </w:p>
        </w:tc>
        <w:tc>
          <w:tcPr>
            <w:tcW w:type="dxa" w:w="2400"/>
            <w:tcMar>
              <w:top w:type="dxa" w:w="60"/>
              <w:left w:type="dxa" w:w="80"/>
              <w:bottom w:type="dxa" w:w="60"/>
              <w:right w:type="dxa" w:w="80"/>
            </w:tcMar>
          </w:tcPr>
          <w:p>
            <w:r>
              <w:rPr>
                <w:b w:val="false"/>
                <w:bCs w:val="false"/>
                <w:sz w:val="17"/>
                <w:szCs w:val="17"/>
              </w:rPr>
              <w:t xml:space="preserve">NCIE-004/008/014.</w:t>
            </w:r>
          </w:p>
        </w:tc>
        <w:tc>
          <w:tcPr>
            <w:tcW w:type="dxa" w:w="2400"/>
            <w:tcMar>
              <w:top w:type="dxa" w:w="60"/>
              <w:left w:type="dxa" w:w="80"/>
              <w:bottom w:type="dxa" w:w="60"/>
              <w:right w:type="dxa" w:w="80"/>
            </w:tcMar>
          </w:tcPr>
          <w:p>
            <w:r>
              <w:rPr>
                <w:b w:val="false"/>
                <w:bCs w:val="false"/>
                <w:sz w:val="17"/>
                <w:szCs w:val="17"/>
              </w:rPr>
              <w:t xml:space="preserve">HR15-32-1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33</w:t>
            </w:r>
          </w:p>
        </w:tc>
        <w:tc>
          <w:tcPr>
            <w:tcW w:type="dxa" w:w="3200"/>
            <w:tcMar>
              <w:top w:type="dxa" w:w="60"/>
              <w:left w:type="dxa" w:w="80"/>
              <w:bottom w:type="dxa" w:w="60"/>
              <w:right w:type="dxa" w:w="80"/>
            </w:tcMar>
          </w:tcPr>
          <w:p>
            <w:r>
              <w:rPr>
                <w:b w:val="false"/>
                <w:bCs w:val="false"/>
                <w:sz w:val="17"/>
                <w:szCs w:val="17"/>
              </w:rPr>
              <w:t xml:space="preserve">Operational readiness, handover &amp; go-live governance; HR focus: go-live authority/evidence.</w:t>
            </w:r>
          </w:p>
        </w:tc>
        <w:tc>
          <w:tcPr>
            <w:tcW w:type="dxa" w:w="2600"/>
            <w:tcMar>
              <w:top w:type="dxa" w:w="60"/>
              <w:left w:type="dxa" w:w="80"/>
              <w:bottom w:type="dxa" w:w="60"/>
              <w:right w:type="dxa" w:w="80"/>
            </w:tcMar>
          </w:tcPr>
          <w:p>
            <w:r>
              <w:rPr>
                <w:b w:val="false"/>
                <w:bCs w:val="false"/>
                <w:sz w:val="17"/>
                <w:szCs w:val="17"/>
              </w:rPr>
              <w:t xml:space="preserve">§33.1-33.2, Table 40 (RACI), HR15-33-1.</w:t>
            </w:r>
          </w:p>
        </w:tc>
        <w:tc>
          <w:tcPr>
            <w:tcW w:type="dxa" w:w="2400"/>
            <w:tcMar>
              <w:top w:type="dxa" w:w="60"/>
              <w:left w:type="dxa" w:w="80"/>
              <w:bottom w:type="dxa" w:w="60"/>
              <w:right w:type="dxa" w:w="80"/>
            </w:tcMar>
          </w:tcPr>
          <w:p>
            <w:r>
              <w:rPr>
                <w:b w:val="false"/>
                <w:bCs w:val="false"/>
                <w:sz w:val="17"/>
                <w:szCs w:val="17"/>
              </w:rPr>
              <w:t xml:space="preserve">NCIE-008/016.</w:t>
            </w:r>
          </w:p>
        </w:tc>
        <w:tc>
          <w:tcPr>
            <w:tcW w:type="dxa" w:w="2400"/>
            <w:tcMar>
              <w:top w:type="dxa" w:w="60"/>
              <w:left w:type="dxa" w:w="80"/>
              <w:bottom w:type="dxa" w:w="60"/>
              <w:right w:type="dxa" w:w="80"/>
            </w:tcMar>
          </w:tcPr>
          <w:p>
            <w:r>
              <w:rPr>
                <w:b w:val="false"/>
                <w:bCs w:val="false"/>
                <w:sz w:val="17"/>
                <w:szCs w:val="17"/>
              </w:rPr>
              <w:t xml:space="preserve">HR15-33-1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34</w:t>
            </w:r>
          </w:p>
        </w:tc>
        <w:tc>
          <w:tcPr>
            <w:tcW w:type="dxa" w:w="3200"/>
            <w:tcMar>
              <w:top w:type="dxa" w:w="60"/>
              <w:left w:type="dxa" w:w="80"/>
              <w:bottom w:type="dxa" w:w="60"/>
              <w:right w:type="dxa" w:w="80"/>
            </w:tcMar>
          </w:tcPr>
          <w:p>
            <w:r>
              <w:rPr>
                <w:b w:val="false"/>
                <w:bCs w:val="false"/>
                <w:sz w:val="17"/>
                <w:szCs w:val="17"/>
              </w:rPr>
              <w:t xml:space="preserve">DevSecOps/operations testing &amp; game-day validation; HR focus: test acceptance/cadence.</w:t>
            </w:r>
          </w:p>
        </w:tc>
        <w:tc>
          <w:tcPr>
            <w:tcW w:type="dxa" w:w="2600"/>
            <w:tcMar>
              <w:top w:type="dxa" w:w="60"/>
              <w:left w:type="dxa" w:w="80"/>
              <w:bottom w:type="dxa" w:w="60"/>
              <w:right w:type="dxa" w:w="80"/>
            </w:tcMar>
          </w:tcPr>
          <w:p>
            <w:r>
              <w:rPr>
                <w:b w:val="false"/>
                <w:bCs w:val="false"/>
                <w:sz w:val="17"/>
                <w:szCs w:val="17"/>
              </w:rPr>
              <w:t xml:space="preserve">§34.1-34.2, Table 41 (10 test classes, directive item 54), Table 42 (RACI), HR15-34-1.</w:t>
            </w:r>
          </w:p>
        </w:tc>
        <w:tc>
          <w:tcPr>
            <w:tcW w:type="dxa" w:w="2400"/>
            <w:tcMar>
              <w:top w:type="dxa" w:w="60"/>
              <w:left w:type="dxa" w:w="80"/>
              <w:bottom w:type="dxa" w:w="60"/>
              <w:right w:type="dxa" w:w="80"/>
            </w:tcMar>
          </w:tcPr>
          <w:p>
            <w:r>
              <w:rPr>
                <w:b w:val="false"/>
                <w:bCs w:val="false"/>
                <w:sz w:val="17"/>
                <w:szCs w:val="17"/>
              </w:rPr>
              <w:t xml:space="preserve">NCIE-016/009/014.</w:t>
            </w:r>
          </w:p>
        </w:tc>
        <w:tc>
          <w:tcPr>
            <w:tcW w:type="dxa" w:w="2400"/>
            <w:tcMar>
              <w:top w:type="dxa" w:w="60"/>
              <w:left w:type="dxa" w:w="80"/>
              <w:bottom w:type="dxa" w:w="60"/>
              <w:right w:type="dxa" w:w="80"/>
            </w:tcMar>
          </w:tcPr>
          <w:p>
            <w:r>
              <w:rPr>
                <w:b w:val="false"/>
                <w:bCs w:val="false"/>
                <w:sz w:val="17"/>
                <w:szCs w:val="17"/>
              </w:rPr>
              <w:t xml:space="preserve">HR15-34-1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35</w:t>
            </w:r>
          </w:p>
        </w:tc>
        <w:tc>
          <w:tcPr>
            <w:tcW w:type="dxa" w:w="3200"/>
            <w:tcMar>
              <w:top w:type="dxa" w:w="60"/>
              <w:left w:type="dxa" w:w="80"/>
              <w:bottom w:type="dxa" w:w="60"/>
              <w:right w:type="dxa" w:w="80"/>
            </w:tcMar>
          </w:tcPr>
          <w:p>
            <w:r>
              <w:rPr>
                <w:b w:val="false"/>
                <w:bCs w:val="false"/>
                <w:sz w:val="17"/>
                <w:szCs w:val="17"/>
              </w:rPr>
              <w:t xml:space="preserve">Human Review Register &amp; open operations decisions; HR focus: register/decide register items.</w:t>
            </w:r>
          </w:p>
        </w:tc>
        <w:tc>
          <w:tcPr>
            <w:tcW w:type="dxa" w:w="2600"/>
            <w:tcMar>
              <w:top w:type="dxa" w:w="60"/>
              <w:left w:type="dxa" w:w="80"/>
              <w:bottom w:type="dxa" w:w="60"/>
              <w:right w:type="dxa" w:w="80"/>
            </w:tcMar>
          </w:tcPr>
          <w:p>
            <w:r>
              <w:rPr>
                <w:b w:val="false"/>
                <w:bCs w:val="false"/>
                <w:sz w:val="17"/>
                <w:szCs w:val="17"/>
              </w:rPr>
              <w:t xml:space="preserve">§35.0-35.6, Table 43 (summary), Table 44 (complete register, 36 items), HR15-35-1.</w:t>
            </w:r>
          </w:p>
        </w:tc>
        <w:tc>
          <w:tcPr>
            <w:tcW w:type="dxa" w:w="2400"/>
            <w:tcMar>
              <w:top w:type="dxa" w:w="60"/>
              <w:left w:type="dxa" w:w="80"/>
              <w:bottom w:type="dxa" w:w="60"/>
              <w:right w:type="dxa" w:w="80"/>
            </w:tcMar>
          </w:tcPr>
          <w:p>
            <w:r>
              <w:rPr>
                <w:b w:val="false"/>
                <w:bCs w:val="false"/>
                <w:sz w:val="17"/>
                <w:szCs w:val="17"/>
              </w:rPr>
              <w:t xml:space="preserve">All chapters above (mechanically reconciled — directive item 63); approved Skeletal v0.1 Chapter 35 Salient Things to Note.</w:t>
            </w:r>
          </w:p>
        </w:tc>
        <w:tc>
          <w:tcPr>
            <w:tcW w:type="dxa" w:w="2400"/>
            <w:tcMar>
              <w:top w:type="dxa" w:w="60"/>
              <w:left w:type="dxa" w:w="80"/>
              <w:bottom w:type="dxa" w:w="60"/>
              <w:right w:type="dxa" w:w="80"/>
            </w:tcMar>
          </w:tcPr>
          <w:p>
            <w:r>
              <w:rPr>
                <w:b w:val="false"/>
                <w:bCs w:val="false"/>
                <w:sz w:val="17"/>
                <w:szCs w:val="17"/>
              </w:rPr>
              <w:t xml:space="preserve">HR15-35-1 (this chapter's own item) included in Table 44 and totals from the start — the NCIE-008 register-reconciliation defect and NCIE-009 salient-note omission were both designed around, not repeated. All 36 items consolidated.</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36</w:t>
            </w:r>
          </w:p>
        </w:tc>
        <w:tc>
          <w:tcPr>
            <w:tcW w:type="dxa" w:w="3200"/>
            <w:tcMar>
              <w:top w:type="dxa" w:w="60"/>
              <w:left w:type="dxa" w:w="80"/>
              <w:bottom w:type="dxa" w:w="60"/>
              <w:right w:type="dxa" w:w="80"/>
            </w:tcMar>
          </w:tcPr>
          <w:p>
            <w:r>
              <w:rPr>
                <w:b w:val="false"/>
                <w:bCs w:val="false"/>
                <w:sz w:val="17"/>
                <w:szCs w:val="17"/>
              </w:rPr>
              <w:t xml:space="preserve">Traceability, acceptance &amp; downstream handover; HR focus: skeleton approval/expansion authorization.</w:t>
            </w:r>
          </w:p>
        </w:tc>
        <w:tc>
          <w:tcPr>
            <w:tcW w:type="dxa" w:w="2600"/>
            <w:tcMar>
              <w:top w:type="dxa" w:w="60"/>
              <w:left w:type="dxa" w:w="80"/>
              <w:bottom w:type="dxa" w:w="60"/>
              <w:right w:type="dxa" w:w="80"/>
            </w:tcMar>
          </w:tcPr>
          <w:p>
            <w:r>
              <w:rPr>
                <w:b w:val="false"/>
                <w:bCs w:val="false"/>
                <w:sz w:val="17"/>
                <w:szCs w:val="17"/>
              </w:rPr>
              <w:t xml:space="preserve">§36.0-36.6, Table 45 (traceability matrix, 36 rows), Table 46 (downstream handover, 2 rows), HR15-36-1.</w:t>
            </w:r>
          </w:p>
        </w:tc>
        <w:tc>
          <w:tcPr>
            <w:tcW w:type="dxa" w:w="2400"/>
            <w:tcMar>
              <w:top w:type="dxa" w:w="60"/>
              <w:left w:type="dxa" w:w="80"/>
              <w:bottom w:type="dxa" w:w="60"/>
              <w:right w:type="dxa" w:w="80"/>
            </w:tcMar>
          </w:tcPr>
          <w:p>
            <w:r>
              <w:rPr>
                <w:b w:val="false"/>
                <w:bCs w:val="false"/>
                <w:sz w:val="17"/>
                <w:szCs w:val="17"/>
              </w:rPr>
              <w:t xml:space="preserve">Approved NCIE-001-014; approved NCIE-015 Skeletal v0.1.</w:t>
            </w:r>
          </w:p>
        </w:tc>
        <w:tc>
          <w:tcPr>
            <w:tcW w:type="dxa" w:w="2400"/>
            <w:tcMar>
              <w:top w:type="dxa" w:w="60"/>
              <w:left w:type="dxa" w:w="80"/>
              <w:bottom w:type="dxa" w:w="60"/>
              <w:right w:type="dxa" w:w="80"/>
            </w:tcMar>
          </w:tcPr>
          <w:p>
            <w:r>
              <w:rPr>
                <w:b w:val="false"/>
                <w:bCs w:val="false"/>
                <w:sz w:val="17"/>
                <w:szCs w:val="17"/>
              </w:rPr>
              <w:t xml:space="preserve">HR15-36-1 unchanged, RESOLVED BY UPSTREAM BASELINE (skeleton approval already satisfies it).</w:t>
            </w:r>
          </w:p>
        </w:tc>
        <w:tc>
          <w:tcPr>
            <w:tcW w:type="dxa" w:w="1300"/>
            <w:tcMar>
              <w:top w:type="dxa" w:w="60"/>
              <w:left w:type="dxa" w:w="80"/>
              <w:bottom w:type="dxa" w:w="60"/>
              <w:right w:type="dxa" w:w="80"/>
            </w:tcMar>
          </w:tcPr>
          <w:p>
            <w:r>
              <w:rPr>
                <w:b w:val="false"/>
                <w:bCs w:val="false"/>
                <w:sz w:val="17"/>
                <w:szCs w:val="17"/>
              </w:rPr>
              <w:t xml:space="preserve">EXPANDED</w:t>
            </w:r>
          </w:p>
        </w:tc>
      </w:tr>
    </w:tbl>
    <w:p>
      <w:pPr>
        <w:spacing w:before="200"/>
      </w:pPr>
    </w:p>
    <w:p>
      <w:pPr>
        <w:spacing w:after="80" w:before="200"/>
      </w:pPr>
      <w:r>
        <w:rPr>
          <w:b/>
          <w:bCs/>
          <w:sz w:val="20"/>
          <w:szCs w:val="20"/>
        </w:rPr>
        <w:t xml:space="preserve">Consolidated Matrices Added (Directive Items 57-62)</w:t>
      </w:r>
    </w:p>
    <w:p>
      <w:pPr>
        <w:spacing w:after="200"/>
      </w:pPr>
      <w:r>
        <w:rPr>
          <w:sz w:val="19"/>
          <w:szCs w:val="19"/>
        </w:rPr>
        <w:t xml:space="preserve">Table 2 (Chapter 1) — Operational Ownership Matrix, mapping platform domains to technical operator responsibility without inventing organizational offices. Table 5 (Chapter 3) — Environment/Promotion Matrix. Table 11 (Chapter 8) — Release-Control Matrix, fixing eight distinct release states from build through final acceptance. Table 24 (Chapter 20) — Observability Matrix, separating every telemetry type from the one authoritative audit/provenance class. Table 28 (Chapter 23) — Incident/Recovery Matrix, covering incident, failover, restore and post-incident review states. Table 30 (Chapter 24) — Runbook Matrix, fixing an explicit stop/escalation condition for five representative operational scenarios. Every other chapter carries its own chapter-appropriate RACI/control-ownership table.</w:t>
      </w:r>
    </w:p>
    <w:p>
      <w:pPr>
        <w:spacing w:after="80" w:before="200"/>
      </w:pPr>
      <w:r>
        <w:rPr>
          <w:b/>
          <w:bCs/>
          <w:sz w:val="20"/>
          <w:szCs w:val="20"/>
        </w:rPr>
        <w:t xml:space="preserve">Human Review Register Reconciliation</w:t>
      </w:r>
    </w:p>
    <w:p>
      <w:pPr>
        <w:spacing w:after="200"/>
      </w:pPr>
      <w:r>
        <w:rPr>
          <w:sz w:val="19"/>
          <w:szCs w:val="19"/>
        </w:rPr>
        <w:t xml:space="preserve">36 Human Review items total: 34 items from Chapters 1-34 (one per chapter, mechanically extracted from each chapter's own Human Review Focus bullet text), plus HR15-35-1 (Chapter 35's own item) and HR15-36-1 (Chapter 36's own item) — both defined once and included in the register from the start, per the lessons learned from the NCIE-008 v1.0 correction (register-reconciliation omission) and the NCIE-009 v1.0 correction (Salient Things to Note omission), rather than discovered afterward. Classification breakdown: 17 Institutional Confirmation Required, 9 Security/Sovereignty Confirmation Required, 8 Engineering/Infrastructure Discovery Required, 1 Legal/Policy Confirmation Required, 1 Resolved by Upstream Baseline. 32 Blocking / 4 Non-Blocking. Every NCIE-015 item was individually checked against the existing NCIE-008–014 Human Review registers per directive item 64's upstream-deduplication rule; none was found to restate an identical governance/security/persistence/domain-business question, so no cross-reference deduplication was required for this edition. No item manufactures closure of a decision the approved skeleton, the approved NCIE-008–014 layers, or the approved upstream chain does not itself settle.</w:t>
      </w:r>
    </w:p>
    <w:p>
      <w:pPr>
        <w:spacing w:after="80" w:before="200"/>
      </w:pPr>
      <w:r>
        <w:rPr>
          <w:b/>
          <w:bCs/>
          <w:sz w:val="20"/>
          <w:szCs w:val="20"/>
        </w:rPr>
        <w:t xml:space="preserve">Skeleton Fidelity Statement</w:t>
      </w:r>
    </w:p>
    <w:p>
      <w:r>
        <w:rPr>
          <w:sz w:val="19"/>
          <w:szCs w:val="19"/>
        </w:rPr>
        <w:t xml:space="preserve">Every approved Chapter Purpose, Salient Things to Note, Principal Component, Upstream Dependency/Authority and Human Review Focus from the approved NCIE-015 Skeletal v0.1 is substantively represented in the corresponding v1.0 chapter above, including an explicit Salient Things to Note subsection in all 36 chapters — independently re-verified against the final assembled document by a programmatic scan (directive item 78), not assumed from the build script; none is omitted and none is conceptually inverted (Chapter 36 §36.3).</w:t>
      </w:r>
    </w:p>
    <w:sectPr>
      <w:pgSz w:w="16838" w:h="11906" w:orient="landscape"/>
      <w:pgMar w:top="700" w:right="600" w:bottom="7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2026-09-16T08:38:42.589Z</dcterms:created>
  <dcterms:modified xsi:type="dcterms:W3CDTF">2026-09-16T08:38:42.596Z</dcterms:modified>
</cp:coreProperties>
</file>

<file path=docProps/custom.xml><?xml version="1.0" encoding="utf-8"?>
<Properties xmlns="http://schemas.openxmlformats.org/officeDocument/2006/custom-properties" xmlns:vt="http://schemas.openxmlformats.org/officeDocument/2006/docPropsVTypes"/>
</file>