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NCIE-016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Testing, Verification &amp; Acceptance Specification — IN DEVELOPMENT / FOR HUMAN REVIEW</w:t>
      </w:r>
    </w:p>
    <w:p>
      <w:pPr>
        <w:spacing w:after="80" w:before="0"/>
      </w:pPr>
      <w:r>
        <w:rPr>
          <w:b/>
          <w:bCs/>
          <w:sz w:val="20"/>
          <w:szCs w:val="20"/>
        </w:rPr>
        <w:t xml:space="preserve">Formal-Title Reconciliation (Directive Item 3)</w:t>
      </w:r>
    </w:p>
    <w:p>
      <w:pPr>
        <w:spacing w:after="200"/>
      </w:pPr>
      <w:r>
        <w:rPr>
          <w:sz w:val="19"/>
          <w:szCs w:val="19"/>
        </w:rPr>
        <w:t xml:space="preserve">The Skeletal v0.1 working title 'NCIE-016 — Testing, Quality Assurance &amp; Verification Specification' was checked against the NCIE Documentation Suite Master Controlled Register v2.0, Section 3, NCIE-016 entry, per directive item 3 and the skeleton's own Title-control note. The register records the formal title as 'Testing, Verification &amp; Acceptance Specification' with Primary Purpose 'Verification strategy, test suites, security/AI/data testing and acceptance gates' — matching this document's actual 40-chapter scope exactly. Comparison result: SEMANTIC MATCH — DOCUMENT-CONTROL WORDING DIFFERS ('Quality Assurance' dropped, 'Acceptance' added; no material scope discrepancy). The document-control title was accordingly set to 'NCIE-016 — Testing, Verification &amp; Acceptance Specification' throughout this document and the deliverable filename; this is recorded as Human Review item HR16-1-1 for institutional confirmation.</w:t>
      </w:r>
    </w:p>
    <w:p>
      <w:pPr>
        <w:spacing w:after="200"/>
      </w:pPr>
      <w:r>
        <w:rPr>
          <w:sz w:val="19"/>
          <w:szCs w:val="19"/>
        </w:rPr>
        <w:t xml:space="preserve">Maps each of the 40 approved NCIE-016 Skeletal v0.1 chapters to its expanded v1.0 location, states the authority basis for the expansion, and records the effect on that chapter's Human Review Focus item. No chapter was added, removed, merged, split or renumbered; every approved chapter purpose, Salient Things to Note, principal component, upstream dependency and Human Review focus is substantively represented below, including an explicit Salient Things to Note subsection in all 40 chapters (directive item 86 hard gate). No test described in the expanded specification was executed, passed, validated or accepted in the course of this production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verification boundary; HR focus: title/verification/sign-off authority.</w:t>
            </w:r>
          </w:p>
        </w:tc>
        <w:tc>
          <w:tcPr>
            <w:tcW w:type="dxa" w:w="2600"/>
            <w:tcMar>
              <w:top w:type="dxa" w:w="60"/>
              <w:left w:type="dxa" w:w="80"/>
              <w:bottom w:type="dxa" w:w="60"/>
              <w:right w:type="dxa" w:w="80"/>
            </w:tcMar>
          </w:tcPr>
          <w:p>
            <w:r>
              <w:rPr>
                <w:b w:val="false"/>
                <w:bCs w:val="false"/>
                <w:sz w:val="17"/>
                <w:szCs w:val="17"/>
              </w:rPr>
              <w:t xml:space="preserve">§1.1-1.3, Table 1 (boundary), Table 2 (Cross-Spec Test Catalogue, item 65), Table 3 (RACI), HR16-1-1.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HR16-1-1 includes formal-title reconciliation (§0.1 — corrected to 'Acceptance' per Master Controlled Register v2.0),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Quality engineering &amp; verification doctrine; HR focus: doctrine/independence.</w:t>
            </w:r>
          </w:p>
        </w:tc>
        <w:tc>
          <w:tcPr>
            <w:tcW w:type="dxa" w:w="2600"/>
            <w:tcMar>
              <w:top w:type="dxa" w:w="60"/>
              <w:left w:type="dxa" w:w="80"/>
              <w:bottom w:type="dxa" w:w="60"/>
              <w:right w:type="dxa" w:w="80"/>
            </w:tcMar>
          </w:tcPr>
          <w:p>
            <w:r>
              <w:rPr>
                <w:b w:val="false"/>
                <w:bCs w:val="false"/>
                <w:sz w:val="17"/>
                <w:szCs w:val="17"/>
              </w:rPr>
              <w:t xml:space="preserve">§2.1-2.3, Table 4 Test-State Matrix (item 64), Table 5 (RACI), HR16-2-1.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Requirements baseline &amp; testable acceptance extraction; HR focus: baseline-freeze/ambiguity.</w:t>
            </w:r>
          </w:p>
        </w:tc>
        <w:tc>
          <w:tcPr>
            <w:tcW w:type="dxa" w:w="2600"/>
            <w:tcMar>
              <w:top w:type="dxa" w:w="60"/>
              <w:left w:type="dxa" w:w="80"/>
              <w:bottom w:type="dxa" w:w="60"/>
              <w:right w:type="dxa" w:w="80"/>
            </w:tcMar>
          </w:tcPr>
          <w:p>
            <w:r>
              <w:rPr>
                <w:b w:val="false"/>
                <w:bCs w:val="false"/>
                <w:sz w:val="17"/>
                <w:szCs w:val="17"/>
              </w:rPr>
              <w:t xml:space="preserve">§3.1-3.2, Table 6 (RACI), HR16-3-1.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RTM architecture; HR focus: RTM ownership/acceptance.</w:t>
            </w:r>
          </w:p>
        </w:tc>
        <w:tc>
          <w:tcPr>
            <w:tcW w:type="dxa" w:w="2600"/>
            <w:tcMar>
              <w:top w:type="dxa" w:w="60"/>
              <w:left w:type="dxa" w:w="80"/>
              <w:bottom w:type="dxa" w:w="60"/>
              <w:right w:type="dxa" w:w="80"/>
            </w:tcMar>
          </w:tcPr>
          <w:p>
            <w:r>
              <w:rPr>
                <w:b w:val="false"/>
                <w:bCs w:val="false"/>
                <w:sz w:val="17"/>
                <w:szCs w:val="17"/>
              </w:rPr>
              <w:t xml:space="preserve">§4.1-4.2, Table 7 Master RTM (item 63), Table 8 (RACI), HR16-4-1.</w:t>
            </w:r>
          </w:p>
        </w:tc>
        <w:tc>
          <w:tcPr>
            <w:tcW w:type="dxa" w:w="2400"/>
            <w:tcMar>
              <w:top w:type="dxa" w:w="60"/>
              <w:left w:type="dxa" w:w="80"/>
              <w:bottom w:type="dxa" w:w="60"/>
              <w:right w:type="dxa" w:w="80"/>
            </w:tcMar>
          </w:tcPr>
          <w:p>
            <w:r>
              <w:rPr>
                <w:b w:val="false"/>
                <w:bCs w:val="false"/>
                <w:sz w:val="17"/>
                <w:szCs w:val="17"/>
              </w:rPr>
              <w:t xml:space="preserve">NCIE-004 comprehensive verification programme.</w:t>
            </w:r>
          </w:p>
        </w:tc>
        <w:tc>
          <w:tcPr>
            <w:tcW w:type="dxa" w:w="2400"/>
            <w:tcMar>
              <w:top w:type="dxa" w:w="60"/>
              <w:left w:type="dxa" w:w="80"/>
              <w:bottom w:type="dxa" w:w="60"/>
              <w:right w:type="dxa" w:w="80"/>
            </w:tcMar>
          </w:tcPr>
          <w:p>
            <w:r>
              <w:rPr>
                <w:b w:val="false"/>
                <w:bCs w:val="false"/>
                <w:sz w:val="17"/>
                <w:szCs w:val="17"/>
              </w:rPr>
              <w:t xml:space="preserve">HR16-4-1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Test levels &amp; verification taxonomy; HR focus: levels by risk.</w:t>
            </w:r>
          </w:p>
        </w:tc>
        <w:tc>
          <w:tcPr>
            <w:tcW w:type="dxa" w:w="2600"/>
            <w:tcMar>
              <w:top w:type="dxa" w:w="60"/>
              <w:left w:type="dxa" w:w="80"/>
              <w:bottom w:type="dxa" w:w="60"/>
              <w:right w:type="dxa" w:w="80"/>
            </w:tcMar>
          </w:tcPr>
          <w:p>
            <w:r>
              <w:rPr>
                <w:b w:val="false"/>
                <w:bCs w:val="false"/>
                <w:sz w:val="17"/>
                <w:szCs w:val="17"/>
              </w:rPr>
              <w:t xml:space="preserve">§5.1-5.2, Table 9 (RACI), HR16-5-1.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Risk-based test prioritization; HR focus: prioritization/risk acceptance.</w:t>
            </w:r>
          </w:p>
        </w:tc>
        <w:tc>
          <w:tcPr>
            <w:tcW w:type="dxa" w:w="2600"/>
            <w:tcMar>
              <w:top w:type="dxa" w:w="60"/>
              <w:left w:type="dxa" w:w="80"/>
              <w:bottom w:type="dxa" w:w="60"/>
              <w:right w:type="dxa" w:w="80"/>
            </w:tcMar>
          </w:tcPr>
          <w:p>
            <w:r>
              <w:rPr>
                <w:b w:val="false"/>
                <w:bCs w:val="false"/>
                <w:sz w:val="17"/>
                <w:szCs w:val="17"/>
              </w:rPr>
              <w:t xml:space="preserve">§6.1-6.2, Table 10 (RACI), HR16-6-1.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Test environment &amp; configuration control; HR focus: environment equivalence.</w:t>
            </w:r>
          </w:p>
        </w:tc>
        <w:tc>
          <w:tcPr>
            <w:tcW w:type="dxa" w:w="2600"/>
            <w:tcMar>
              <w:top w:type="dxa" w:w="60"/>
              <w:left w:type="dxa" w:w="80"/>
              <w:bottom w:type="dxa" w:w="60"/>
              <w:right w:type="dxa" w:w="80"/>
            </w:tcMar>
          </w:tcPr>
          <w:p>
            <w:r>
              <w:rPr>
                <w:b w:val="false"/>
                <w:bCs w:val="false"/>
                <w:sz w:val="17"/>
                <w:szCs w:val="17"/>
              </w:rPr>
              <w:t xml:space="preserve">§7.1-7.2, Table 11 (RACI), HR16-7-1.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Test data, synthetic data &amp; privacy; HR focus: permitted production-derived data.</w:t>
            </w:r>
          </w:p>
        </w:tc>
        <w:tc>
          <w:tcPr>
            <w:tcW w:type="dxa" w:w="2600"/>
            <w:tcMar>
              <w:top w:type="dxa" w:w="60"/>
              <w:left w:type="dxa" w:w="80"/>
              <w:bottom w:type="dxa" w:w="60"/>
              <w:right w:type="dxa" w:w="80"/>
            </w:tcMar>
          </w:tcPr>
          <w:p>
            <w:r>
              <w:rPr>
                <w:b w:val="false"/>
                <w:bCs w:val="false"/>
                <w:sz w:val="17"/>
                <w:szCs w:val="17"/>
              </w:rPr>
              <w:t xml:space="preserve">§8.1-8.2, Table 12 (RACI), HR16-8-1.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Test automation architecture; HR focus: automation technology/coverage goals.</w:t>
            </w:r>
          </w:p>
        </w:tc>
        <w:tc>
          <w:tcPr>
            <w:tcW w:type="dxa" w:w="2600"/>
            <w:tcMar>
              <w:top w:type="dxa" w:w="60"/>
              <w:left w:type="dxa" w:w="80"/>
              <w:bottom w:type="dxa" w:w="60"/>
              <w:right w:type="dxa" w:w="80"/>
            </w:tcMar>
          </w:tcPr>
          <w:p>
            <w:r>
              <w:rPr>
                <w:b w:val="false"/>
                <w:bCs w:val="false"/>
                <w:sz w:val="17"/>
                <w:szCs w:val="17"/>
              </w:rPr>
              <w:t xml:space="preserve">§9.1-9.2, Table 13 (RACI), HR16-9-1.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HR16-9-1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Static analysis, code quality &amp; unit verification; HR focus: quality gates/coverage targets.</w:t>
            </w:r>
          </w:p>
        </w:tc>
        <w:tc>
          <w:tcPr>
            <w:tcW w:type="dxa" w:w="2600"/>
            <w:tcMar>
              <w:top w:type="dxa" w:w="60"/>
              <w:left w:type="dxa" w:w="80"/>
              <w:bottom w:type="dxa" w:w="60"/>
              <w:right w:type="dxa" w:w="80"/>
            </w:tcMar>
          </w:tcPr>
          <w:p>
            <w:r>
              <w:rPr>
                <w:b w:val="false"/>
                <w:bCs w:val="false"/>
                <w:sz w:val="17"/>
                <w:szCs w:val="17"/>
              </w:rPr>
              <w:t xml:space="preserve">§10.1-10.2, Table 14 (RACI), HR16-10-1.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HR16-10-1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API, contract &amp; integration testing; HR focus: partner/certification acceptance.</w:t>
            </w:r>
          </w:p>
        </w:tc>
        <w:tc>
          <w:tcPr>
            <w:tcW w:type="dxa" w:w="2600"/>
            <w:tcMar>
              <w:top w:type="dxa" w:w="60"/>
              <w:left w:type="dxa" w:w="80"/>
              <w:bottom w:type="dxa" w:w="60"/>
              <w:right w:type="dxa" w:w="80"/>
            </w:tcMar>
          </w:tcPr>
          <w:p>
            <w:r>
              <w:rPr>
                <w:b w:val="false"/>
                <w:bCs w:val="false"/>
                <w:sz w:val="17"/>
                <w:szCs w:val="17"/>
              </w:rPr>
              <w:t xml:space="preserve">§11.1-11.2, Table 15 (RACI), HR16-11-1.</w:t>
            </w:r>
          </w:p>
        </w:tc>
        <w:tc>
          <w:tcPr>
            <w:tcW w:type="dxa" w:w="2400"/>
            <w:tcMar>
              <w:top w:type="dxa" w:w="60"/>
              <w:left w:type="dxa" w:w="80"/>
              <w:bottom w:type="dxa" w:w="60"/>
              <w:right w:type="dxa" w:w="80"/>
            </w:tcMar>
          </w:tcPr>
          <w:p>
            <w:r>
              <w:rPr>
                <w:b w:val="false"/>
                <w:bCs w:val="false"/>
                <w:sz w:val="17"/>
                <w:szCs w:val="17"/>
              </w:rPr>
              <w:t xml:space="preserve">NCIE-011 Ch.30.</w:t>
            </w:r>
          </w:p>
        </w:tc>
        <w:tc>
          <w:tcPr>
            <w:tcW w:type="dxa" w:w="2400"/>
            <w:tcMar>
              <w:top w:type="dxa" w:w="60"/>
              <w:left w:type="dxa" w:w="80"/>
              <w:bottom w:type="dxa" w:w="60"/>
              <w:right w:type="dxa" w:w="80"/>
            </w:tcMar>
          </w:tcPr>
          <w:p>
            <w:r>
              <w:rPr>
                <w:b w:val="false"/>
                <w:bCs w:val="false"/>
                <w:sz w:val="17"/>
                <w:szCs w:val="17"/>
              </w:rPr>
              <w:t xml:space="preserve">HR16-11-1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Data model, database &amp; migration testing; HR focus: migration/reconciliation acceptance.</w:t>
            </w:r>
          </w:p>
        </w:tc>
        <w:tc>
          <w:tcPr>
            <w:tcW w:type="dxa" w:w="2600"/>
            <w:tcMar>
              <w:top w:type="dxa" w:w="60"/>
              <w:left w:type="dxa" w:w="80"/>
              <w:bottom w:type="dxa" w:w="60"/>
              <w:right w:type="dxa" w:w="80"/>
            </w:tcMar>
          </w:tcPr>
          <w:p>
            <w:r>
              <w:rPr>
                <w:b w:val="false"/>
                <w:bCs w:val="false"/>
                <w:sz w:val="17"/>
                <w:szCs w:val="17"/>
              </w:rPr>
              <w:t xml:space="preserve">§12.1-12.2, Table 16 (RACI), HR16-12-1.</w:t>
            </w:r>
          </w:p>
        </w:tc>
        <w:tc>
          <w:tcPr>
            <w:tcW w:type="dxa" w:w="2400"/>
            <w:tcMar>
              <w:top w:type="dxa" w:w="60"/>
              <w:left w:type="dxa" w:w="80"/>
              <w:bottom w:type="dxa" w:w="60"/>
              <w:right w:type="dxa" w:w="80"/>
            </w:tcMar>
          </w:tcPr>
          <w:p>
            <w:r>
              <w:rPr>
                <w:b w:val="false"/>
                <w:bCs w:val="false"/>
                <w:sz w:val="17"/>
                <w:szCs w:val="17"/>
              </w:rPr>
              <w:t xml:space="preserve">NCIE-003; NCIE-014 Ch.32.</w:t>
            </w:r>
          </w:p>
        </w:tc>
        <w:tc>
          <w:tcPr>
            <w:tcW w:type="dxa" w:w="2400"/>
            <w:tcMar>
              <w:top w:type="dxa" w:w="60"/>
              <w:left w:type="dxa" w:w="80"/>
              <w:bottom w:type="dxa" w:w="60"/>
              <w:right w:type="dxa" w:w="80"/>
            </w:tcMar>
          </w:tcPr>
          <w:p>
            <w:r>
              <w:rPr>
                <w:b w:val="false"/>
                <w:bCs w:val="false"/>
                <w:sz w:val="17"/>
                <w:szCs w:val="17"/>
              </w:rPr>
              <w:t xml:space="preserve">HR16-12-1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Memory, Context, search &amp; retrieval testing; HR focus: Memory scenarios/acceptance.</w:t>
            </w:r>
          </w:p>
        </w:tc>
        <w:tc>
          <w:tcPr>
            <w:tcW w:type="dxa" w:w="2600"/>
            <w:tcMar>
              <w:top w:type="dxa" w:w="60"/>
              <w:left w:type="dxa" w:w="80"/>
              <w:bottom w:type="dxa" w:w="60"/>
              <w:right w:type="dxa" w:w="80"/>
            </w:tcMar>
          </w:tcPr>
          <w:p>
            <w:r>
              <w:rPr>
                <w:b w:val="false"/>
                <w:bCs w:val="false"/>
                <w:sz w:val="17"/>
                <w:szCs w:val="17"/>
              </w:rPr>
              <w:t xml:space="preserve">§13.1-13.2, Table 17 (RACI), HR16-13-1.</w:t>
            </w:r>
          </w:p>
        </w:tc>
        <w:tc>
          <w:tcPr>
            <w:tcW w:type="dxa" w:w="2400"/>
            <w:tcMar>
              <w:top w:type="dxa" w:w="60"/>
              <w:left w:type="dxa" w:w="80"/>
              <w:bottom w:type="dxa" w:w="60"/>
              <w:right w:type="dxa" w:w="80"/>
            </w:tcMar>
          </w:tcPr>
          <w:p>
            <w:r>
              <w:rPr>
                <w:b w:val="false"/>
                <w:bCs w:val="false"/>
                <w:sz w:val="17"/>
                <w:szCs w:val="17"/>
              </w:rPr>
              <w:t xml:space="preserve">NCIE-006 Ch.34; NCIE-009.</w:t>
            </w:r>
          </w:p>
        </w:tc>
        <w:tc>
          <w:tcPr>
            <w:tcW w:type="dxa" w:w="2400"/>
            <w:tcMar>
              <w:top w:type="dxa" w:w="60"/>
              <w:left w:type="dxa" w:w="80"/>
              <w:bottom w:type="dxa" w:w="60"/>
              <w:right w:type="dxa" w:w="80"/>
            </w:tcMar>
          </w:tcPr>
          <w:p>
            <w:r>
              <w:rPr>
                <w:b w:val="false"/>
                <w:bCs w:val="false"/>
                <w:sz w:val="17"/>
                <w:szCs w:val="17"/>
              </w:rPr>
              <w:t xml:space="preserve">HR16-13-1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ARGUS behavioral &amp; conversational testing; HR focus: behavioral scenario corpus.</w:t>
            </w:r>
          </w:p>
        </w:tc>
        <w:tc>
          <w:tcPr>
            <w:tcW w:type="dxa" w:w="2600"/>
            <w:tcMar>
              <w:top w:type="dxa" w:w="60"/>
              <w:left w:type="dxa" w:w="80"/>
              <w:bottom w:type="dxa" w:w="60"/>
              <w:right w:type="dxa" w:w="80"/>
            </w:tcMar>
          </w:tcPr>
          <w:p>
            <w:r>
              <w:rPr>
                <w:b w:val="false"/>
                <w:bCs w:val="false"/>
                <w:sz w:val="17"/>
                <w:szCs w:val="17"/>
              </w:rPr>
              <w:t xml:space="preserve">§14.1-14.2, Table 18 (RACI), HR16-14-1.</w:t>
            </w:r>
          </w:p>
        </w:tc>
        <w:tc>
          <w:tcPr>
            <w:tcW w:type="dxa" w:w="2400"/>
            <w:tcMar>
              <w:top w:type="dxa" w:w="60"/>
              <w:left w:type="dxa" w:w="80"/>
              <w:bottom w:type="dxa" w:w="60"/>
              <w:right w:type="dxa" w:w="80"/>
            </w:tcMar>
          </w:tcPr>
          <w:p>
            <w:r>
              <w:rPr>
                <w:b w:val="false"/>
                <w:bCs w:val="false"/>
                <w:sz w:val="17"/>
                <w:szCs w:val="17"/>
              </w:rPr>
              <w:t xml:space="preserve">NCIE-005; NCIE-012.</w:t>
            </w:r>
          </w:p>
        </w:tc>
        <w:tc>
          <w:tcPr>
            <w:tcW w:type="dxa" w:w="2400"/>
            <w:tcMar>
              <w:top w:type="dxa" w:w="60"/>
              <w:left w:type="dxa" w:w="80"/>
              <w:bottom w:type="dxa" w:w="60"/>
              <w:right w:type="dxa" w:w="80"/>
            </w:tcMar>
          </w:tcPr>
          <w:p>
            <w:r>
              <w:rPr>
                <w:b w:val="false"/>
                <w:bCs w:val="false"/>
                <w:sz w:val="17"/>
                <w:szCs w:val="17"/>
              </w:rPr>
              <w:t xml:space="preserve">HR16-14-1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Agent Factory, runtime &amp; multi-Agent testing; HR focus: Agent corpus/generated-code scope.</w:t>
            </w:r>
          </w:p>
        </w:tc>
        <w:tc>
          <w:tcPr>
            <w:tcW w:type="dxa" w:w="2600"/>
            <w:tcMar>
              <w:top w:type="dxa" w:w="60"/>
              <w:left w:type="dxa" w:w="80"/>
              <w:bottom w:type="dxa" w:w="60"/>
              <w:right w:type="dxa" w:w="80"/>
            </w:tcMar>
          </w:tcPr>
          <w:p>
            <w:r>
              <w:rPr>
                <w:b w:val="false"/>
                <w:bCs w:val="false"/>
                <w:sz w:val="17"/>
                <w:szCs w:val="17"/>
              </w:rPr>
              <w:t xml:space="preserve">§15.1-15.2, Table 19 (RACI), HR16-15-1.</w:t>
            </w:r>
          </w:p>
        </w:tc>
        <w:tc>
          <w:tcPr>
            <w:tcW w:type="dxa" w:w="2400"/>
            <w:tcMar>
              <w:top w:type="dxa" w:w="60"/>
              <w:left w:type="dxa" w:w="80"/>
              <w:bottom w:type="dxa" w:w="60"/>
              <w:right w:type="dxa" w:w="80"/>
            </w:tcMar>
          </w:tcPr>
          <w:p>
            <w:r>
              <w:rPr>
                <w:b w:val="false"/>
                <w:bCs w:val="false"/>
                <w:sz w:val="17"/>
                <w:szCs w:val="17"/>
              </w:rPr>
              <w:t xml:space="preserve">NCIE-007 Ch.32; NCIE-009.</w:t>
            </w:r>
          </w:p>
        </w:tc>
        <w:tc>
          <w:tcPr>
            <w:tcW w:type="dxa" w:w="2400"/>
            <w:tcMar>
              <w:top w:type="dxa" w:w="60"/>
              <w:left w:type="dxa" w:w="80"/>
              <w:bottom w:type="dxa" w:w="60"/>
              <w:right w:type="dxa" w:w="80"/>
            </w:tcMar>
          </w:tcPr>
          <w:p>
            <w:r>
              <w:rPr>
                <w:b w:val="false"/>
                <w:bCs w:val="false"/>
                <w:sz w:val="17"/>
                <w:szCs w:val="17"/>
              </w:rPr>
              <w:t xml:space="preserve">HR16-15-1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Model Gateway &amp; AI evaluation; HR focus: benchmarks/evaluation sets/thresholds.</w:t>
            </w:r>
          </w:p>
        </w:tc>
        <w:tc>
          <w:tcPr>
            <w:tcW w:type="dxa" w:w="2600"/>
            <w:tcMar>
              <w:top w:type="dxa" w:w="60"/>
              <w:left w:type="dxa" w:w="80"/>
              <w:bottom w:type="dxa" w:w="60"/>
              <w:right w:type="dxa" w:w="80"/>
            </w:tcMar>
          </w:tcPr>
          <w:p>
            <w:r>
              <w:rPr>
                <w:b w:val="false"/>
                <w:bCs w:val="false"/>
                <w:sz w:val="17"/>
                <w:szCs w:val="17"/>
              </w:rPr>
              <w:t xml:space="preserve">§16.1-16.2, Table 20 (RACI), HR16-16-1.</w:t>
            </w:r>
          </w:p>
        </w:tc>
        <w:tc>
          <w:tcPr>
            <w:tcW w:type="dxa" w:w="2400"/>
            <w:tcMar>
              <w:top w:type="dxa" w:w="60"/>
              <w:left w:type="dxa" w:w="80"/>
              <w:bottom w:type="dxa" w:w="60"/>
              <w:right w:type="dxa" w:w="80"/>
            </w:tcMar>
          </w:tcPr>
          <w:p>
            <w:r>
              <w:rPr>
                <w:b w:val="false"/>
                <w:bCs w:val="false"/>
                <w:sz w:val="17"/>
                <w:szCs w:val="17"/>
              </w:rPr>
              <w:t xml:space="preserve">NCIE-007/009/013.</w:t>
            </w:r>
          </w:p>
        </w:tc>
        <w:tc>
          <w:tcPr>
            <w:tcW w:type="dxa" w:w="2400"/>
            <w:tcMar>
              <w:top w:type="dxa" w:w="60"/>
              <w:left w:type="dxa" w:w="80"/>
              <w:bottom w:type="dxa" w:w="60"/>
              <w:right w:type="dxa" w:w="80"/>
            </w:tcMar>
          </w:tcPr>
          <w:p>
            <w:r>
              <w:rPr>
                <w:b w:val="false"/>
                <w:bCs w:val="false"/>
                <w:sz w:val="17"/>
                <w:szCs w:val="17"/>
              </w:rPr>
              <w:t xml:space="preserve">HR16-16-1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Tool Gateway &amp; consequential-action testing; HR focus: high-risk Tool scenarios.</w:t>
            </w:r>
          </w:p>
        </w:tc>
        <w:tc>
          <w:tcPr>
            <w:tcW w:type="dxa" w:w="2600"/>
            <w:tcMar>
              <w:top w:type="dxa" w:w="60"/>
              <w:left w:type="dxa" w:w="80"/>
              <w:bottom w:type="dxa" w:w="60"/>
              <w:right w:type="dxa" w:w="80"/>
            </w:tcMar>
          </w:tcPr>
          <w:p>
            <w:r>
              <w:rPr>
                <w:b w:val="false"/>
                <w:bCs w:val="false"/>
                <w:sz w:val="17"/>
                <w:szCs w:val="17"/>
              </w:rPr>
              <w:t xml:space="preserve">§17.1-17.2, Table 21 (RACI), HR16-17-1.</w:t>
            </w:r>
          </w:p>
        </w:tc>
        <w:tc>
          <w:tcPr>
            <w:tcW w:type="dxa" w:w="2400"/>
            <w:tcMar>
              <w:top w:type="dxa" w:w="60"/>
              <w:left w:type="dxa" w:w="80"/>
              <w:bottom w:type="dxa" w:w="60"/>
              <w:right w:type="dxa" w:w="80"/>
            </w:tcMar>
          </w:tcPr>
          <w:p>
            <w:r>
              <w:rPr>
                <w:b w:val="false"/>
                <w:bCs w:val="false"/>
                <w:sz w:val="17"/>
                <w:szCs w:val="17"/>
              </w:rPr>
              <w:t xml:space="preserve">NCIE-007/011/009.</w:t>
            </w:r>
          </w:p>
        </w:tc>
        <w:tc>
          <w:tcPr>
            <w:tcW w:type="dxa" w:w="2400"/>
            <w:tcMar>
              <w:top w:type="dxa" w:w="60"/>
              <w:left w:type="dxa" w:w="80"/>
              <w:bottom w:type="dxa" w:w="60"/>
              <w:right w:type="dxa" w:w="80"/>
            </w:tcMar>
          </w:tcPr>
          <w:p>
            <w:r>
              <w:rPr>
                <w:b w:val="false"/>
                <w:bCs w:val="false"/>
                <w:sz w:val="17"/>
                <w:szCs w:val="17"/>
              </w:rPr>
              <w:t xml:space="preserve">HR16-17-1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VPF validation system testing; HR focus: VPF golden cases/authority.</w:t>
            </w:r>
          </w:p>
        </w:tc>
        <w:tc>
          <w:tcPr>
            <w:tcW w:type="dxa" w:w="2600"/>
            <w:tcMar>
              <w:top w:type="dxa" w:w="60"/>
              <w:left w:type="dxa" w:w="80"/>
              <w:bottom w:type="dxa" w:w="60"/>
              <w:right w:type="dxa" w:w="80"/>
            </w:tcMar>
          </w:tcPr>
          <w:p>
            <w:r>
              <w:rPr>
                <w:b w:val="false"/>
                <w:bCs w:val="false"/>
                <w:sz w:val="17"/>
                <w:szCs w:val="17"/>
              </w:rPr>
              <w:t xml:space="preserve">§18.1-18.2, Table 22 (RACI), HR16-18-1.</w:t>
            </w:r>
          </w:p>
        </w:tc>
        <w:tc>
          <w:tcPr>
            <w:tcW w:type="dxa" w:w="2400"/>
            <w:tcMar>
              <w:top w:type="dxa" w:w="60"/>
              <w:left w:type="dxa" w:w="80"/>
              <w:bottom w:type="dxa" w:w="60"/>
              <w:right w:type="dxa" w:w="80"/>
            </w:tcMar>
          </w:tcPr>
          <w:p>
            <w:r>
              <w:rPr>
                <w:b w:val="false"/>
                <w:bCs w:val="false"/>
                <w:sz w:val="17"/>
                <w:szCs w:val="17"/>
              </w:rPr>
              <w:t xml:space="preserve">NCIE-003/007/009.</w:t>
            </w:r>
          </w:p>
        </w:tc>
        <w:tc>
          <w:tcPr>
            <w:tcW w:type="dxa" w:w="2400"/>
            <w:tcMar>
              <w:top w:type="dxa" w:w="60"/>
              <w:left w:type="dxa" w:w="80"/>
              <w:bottom w:type="dxa" w:w="60"/>
              <w:right w:type="dxa" w:w="80"/>
            </w:tcMar>
          </w:tcPr>
          <w:p>
            <w:r>
              <w:rPr>
                <w:b w:val="false"/>
                <w:bCs w:val="false"/>
                <w:sz w:val="17"/>
                <w:szCs w:val="17"/>
              </w:rPr>
              <w:t xml:space="preserve">HR16-18-1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Security, IAM &amp; Zero-Trust testing; HR focus: security-test independence/acceptance.</w:t>
            </w:r>
          </w:p>
        </w:tc>
        <w:tc>
          <w:tcPr>
            <w:tcW w:type="dxa" w:w="2600"/>
            <w:tcMar>
              <w:top w:type="dxa" w:w="60"/>
              <w:left w:type="dxa" w:w="80"/>
              <w:bottom w:type="dxa" w:w="60"/>
              <w:right w:type="dxa" w:w="80"/>
            </w:tcMar>
          </w:tcPr>
          <w:p>
            <w:r>
              <w:rPr>
                <w:b w:val="false"/>
                <w:bCs w:val="false"/>
                <w:sz w:val="17"/>
                <w:szCs w:val="17"/>
              </w:rPr>
              <w:t xml:space="preserve">§19.1-19.2, Table 23 (RACI), HR16-19-1.</w:t>
            </w:r>
          </w:p>
        </w:tc>
        <w:tc>
          <w:tcPr>
            <w:tcW w:type="dxa" w:w="2400"/>
            <w:tcMar>
              <w:top w:type="dxa" w:w="60"/>
              <w:left w:type="dxa" w:w="80"/>
              <w:bottom w:type="dxa" w:w="60"/>
              <w:right w:type="dxa" w:w="80"/>
            </w:tcMar>
          </w:tcPr>
          <w:p>
            <w:r>
              <w:rPr>
                <w:b w:val="false"/>
                <w:bCs w:val="false"/>
                <w:sz w:val="17"/>
                <w:szCs w:val="17"/>
              </w:rPr>
              <w:t xml:space="preserve">NCIE-009 Ch.26.</w:t>
            </w:r>
          </w:p>
        </w:tc>
        <w:tc>
          <w:tcPr>
            <w:tcW w:type="dxa" w:w="2400"/>
            <w:tcMar>
              <w:top w:type="dxa" w:w="60"/>
              <w:left w:type="dxa" w:w="80"/>
              <w:bottom w:type="dxa" w:w="60"/>
              <w:right w:type="dxa" w:w="80"/>
            </w:tcMar>
          </w:tcPr>
          <w:p>
            <w:r>
              <w:rPr>
                <w:b w:val="false"/>
                <w:bCs w:val="false"/>
                <w:sz w:val="17"/>
                <w:szCs w:val="17"/>
              </w:rPr>
              <w:t xml:space="preserve">HR16-19-1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Evidence, provenance, audit &amp; defensibility testing; HR focus: defensibility evidence/acceptance.</w:t>
            </w:r>
          </w:p>
        </w:tc>
        <w:tc>
          <w:tcPr>
            <w:tcW w:type="dxa" w:w="2600"/>
            <w:tcMar>
              <w:top w:type="dxa" w:w="60"/>
              <w:left w:type="dxa" w:w="80"/>
              <w:bottom w:type="dxa" w:w="60"/>
              <w:right w:type="dxa" w:w="80"/>
            </w:tcMar>
          </w:tcPr>
          <w:p>
            <w:r>
              <w:rPr>
                <w:b w:val="false"/>
                <w:bCs w:val="false"/>
                <w:sz w:val="17"/>
                <w:szCs w:val="17"/>
              </w:rPr>
              <w:t xml:space="preserve">§20.1-20.2, Table 24 (RACI), HR16-20-1.</w:t>
            </w:r>
          </w:p>
        </w:tc>
        <w:tc>
          <w:tcPr>
            <w:tcW w:type="dxa" w:w="2400"/>
            <w:tcMar>
              <w:top w:type="dxa" w:w="60"/>
              <w:left w:type="dxa" w:w="80"/>
              <w:bottom w:type="dxa" w:w="60"/>
              <w:right w:type="dxa" w:w="80"/>
            </w:tcMar>
          </w:tcPr>
          <w:p>
            <w:r>
              <w:rPr>
                <w:b w:val="false"/>
                <w:bCs w:val="false"/>
                <w:sz w:val="17"/>
                <w:szCs w:val="17"/>
              </w:rPr>
              <w:t xml:space="preserve">NCIE-010 Ch.27.</w:t>
            </w:r>
          </w:p>
        </w:tc>
        <w:tc>
          <w:tcPr>
            <w:tcW w:type="dxa" w:w="2400"/>
            <w:tcMar>
              <w:top w:type="dxa" w:w="60"/>
              <w:left w:type="dxa" w:w="80"/>
              <w:bottom w:type="dxa" w:w="60"/>
              <w:right w:type="dxa" w:w="80"/>
            </w:tcMar>
          </w:tcPr>
          <w:p>
            <w:r>
              <w:rPr>
                <w:b w:val="false"/>
                <w:bCs w:val="false"/>
                <w:sz w:val="17"/>
                <w:szCs w:val="17"/>
              </w:rPr>
              <w:t xml:space="preserve">HR16-20-1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Functional module &amp; domain scenario validation; HR focus: domain scenarios/validators.</w:t>
            </w:r>
          </w:p>
        </w:tc>
        <w:tc>
          <w:tcPr>
            <w:tcW w:type="dxa" w:w="2600"/>
            <w:tcMar>
              <w:top w:type="dxa" w:w="60"/>
              <w:left w:type="dxa" w:w="80"/>
              <w:bottom w:type="dxa" w:w="60"/>
              <w:right w:type="dxa" w:w="80"/>
            </w:tcMar>
          </w:tcPr>
          <w:p>
            <w:r>
              <w:rPr>
                <w:b w:val="false"/>
                <w:bCs w:val="false"/>
                <w:sz w:val="17"/>
                <w:szCs w:val="17"/>
              </w:rPr>
              <w:t xml:space="preserve">§21.1-21.2, Table 25 (RACI), HR16-21-1.</w:t>
            </w:r>
          </w:p>
        </w:tc>
        <w:tc>
          <w:tcPr>
            <w:tcW w:type="dxa" w:w="2400"/>
            <w:tcMar>
              <w:top w:type="dxa" w:w="60"/>
              <w:left w:type="dxa" w:w="80"/>
              <w:bottom w:type="dxa" w:w="60"/>
              <w:right w:type="dxa" w:w="80"/>
            </w:tcMar>
          </w:tcPr>
          <w:p>
            <w:r>
              <w:rPr>
                <w:b w:val="false"/>
                <w:bCs w:val="false"/>
                <w:sz w:val="17"/>
                <w:szCs w:val="17"/>
              </w:rPr>
              <w:t xml:space="preserve">NCIE-013 Ch.32.</w:t>
            </w:r>
          </w:p>
        </w:tc>
        <w:tc>
          <w:tcPr>
            <w:tcW w:type="dxa" w:w="2400"/>
            <w:tcMar>
              <w:top w:type="dxa" w:w="60"/>
              <w:left w:type="dxa" w:w="80"/>
              <w:bottom w:type="dxa" w:w="60"/>
              <w:right w:type="dxa" w:w="80"/>
            </w:tcMar>
          </w:tcPr>
          <w:p>
            <w:r>
              <w:rPr>
                <w:b w:val="false"/>
                <w:bCs w:val="false"/>
                <w:sz w:val="17"/>
                <w:szCs w:val="17"/>
              </w:rPr>
              <w:t xml:space="preserve">HR16-21-1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UX, accessibility &amp; representative-user validation; HR focus: accessibility level/user groups.</w:t>
            </w:r>
          </w:p>
        </w:tc>
        <w:tc>
          <w:tcPr>
            <w:tcW w:type="dxa" w:w="2600"/>
            <w:tcMar>
              <w:top w:type="dxa" w:w="60"/>
              <w:left w:type="dxa" w:w="80"/>
              <w:bottom w:type="dxa" w:w="60"/>
              <w:right w:type="dxa" w:w="80"/>
            </w:tcMar>
          </w:tcPr>
          <w:p>
            <w:r>
              <w:rPr>
                <w:b w:val="false"/>
                <w:bCs w:val="false"/>
                <w:sz w:val="17"/>
                <w:szCs w:val="17"/>
              </w:rPr>
              <w:t xml:space="preserve">§22.1-22.2, Table 26 (RACI), HR16-22-1.</w:t>
            </w:r>
          </w:p>
        </w:tc>
        <w:tc>
          <w:tcPr>
            <w:tcW w:type="dxa" w:w="2400"/>
            <w:tcMar>
              <w:top w:type="dxa" w:w="60"/>
              <w:left w:type="dxa" w:w="80"/>
              <w:bottom w:type="dxa" w:w="60"/>
              <w:right w:type="dxa" w:w="80"/>
            </w:tcMar>
          </w:tcPr>
          <w:p>
            <w:r>
              <w:rPr>
                <w:b w:val="false"/>
                <w:bCs w:val="false"/>
                <w:sz w:val="17"/>
                <w:szCs w:val="17"/>
              </w:rPr>
              <w:t xml:space="preserve">NCIE-012 Ch.35.</w:t>
            </w:r>
          </w:p>
        </w:tc>
        <w:tc>
          <w:tcPr>
            <w:tcW w:type="dxa" w:w="2400"/>
            <w:tcMar>
              <w:top w:type="dxa" w:w="60"/>
              <w:left w:type="dxa" w:w="80"/>
              <w:bottom w:type="dxa" w:w="60"/>
              <w:right w:type="dxa" w:w="80"/>
            </w:tcMar>
          </w:tcPr>
          <w:p>
            <w:r>
              <w:rPr>
                <w:b w:val="false"/>
                <w:bCs w:val="false"/>
                <w:sz w:val="17"/>
                <w:szCs w:val="17"/>
              </w:rPr>
              <w:t xml:space="preserve">HR16-22-1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DevSecOps, deployment &amp; pipeline testing; HR focus: operational test acceptance.</w:t>
            </w:r>
          </w:p>
        </w:tc>
        <w:tc>
          <w:tcPr>
            <w:tcW w:type="dxa" w:w="2600"/>
            <w:tcMar>
              <w:top w:type="dxa" w:w="60"/>
              <w:left w:type="dxa" w:w="80"/>
              <w:bottom w:type="dxa" w:w="60"/>
              <w:right w:type="dxa" w:w="80"/>
            </w:tcMar>
          </w:tcPr>
          <w:p>
            <w:r>
              <w:rPr>
                <w:b w:val="false"/>
                <w:bCs w:val="false"/>
                <w:sz w:val="17"/>
                <w:szCs w:val="17"/>
              </w:rPr>
              <w:t xml:space="preserve">§23.1-23.2, Table 27 (RACI), HR16-23-1.</w:t>
            </w:r>
          </w:p>
        </w:tc>
        <w:tc>
          <w:tcPr>
            <w:tcW w:type="dxa" w:w="2400"/>
            <w:tcMar>
              <w:top w:type="dxa" w:w="60"/>
              <w:left w:type="dxa" w:w="80"/>
              <w:bottom w:type="dxa" w:w="60"/>
              <w:right w:type="dxa" w:w="80"/>
            </w:tcMar>
          </w:tcPr>
          <w:p>
            <w:r>
              <w:rPr>
                <w:b w:val="false"/>
                <w:bCs w:val="false"/>
                <w:sz w:val="17"/>
                <w:szCs w:val="17"/>
              </w:rPr>
              <w:t xml:space="preserve">NCIE-015 Ch.34.</w:t>
            </w:r>
          </w:p>
        </w:tc>
        <w:tc>
          <w:tcPr>
            <w:tcW w:type="dxa" w:w="2400"/>
            <w:tcMar>
              <w:top w:type="dxa" w:w="60"/>
              <w:left w:type="dxa" w:w="80"/>
              <w:bottom w:type="dxa" w:w="60"/>
              <w:right w:type="dxa" w:w="80"/>
            </w:tcMar>
          </w:tcPr>
          <w:p>
            <w:r>
              <w:rPr>
                <w:b w:val="false"/>
                <w:bCs w:val="false"/>
                <w:sz w:val="17"/>
                <w:szCs w:val="17"/>
              </w:rPr>
              <w:t xml:space="preserve">HR16-23-1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Backup, restore, DR &amp; game-day validation; HR focus: recovery scenarios/RPO-RTO acceptance.</w:t>
            </w:r>
          </w:p>
        </w:tc>
        <w:tc>
          <w:tcPr>
            <w:tcW w:type="dxa" w:w="2600"/>
            <w:tcMar>
              <w:top w:type="dxa" w:w="60"/>
              <w:left w:type="dxa" w:w="80"/>
              <w:bottom w:type="dxa" w:w="60"/>
              <w:right w:type="dxa" w:w="80"/>
            </w:tcMar>
          </w:tcPr>
          <w:p>
            <w:r>
              <w:rPr>
                <w:b w:val="false"/>
                <w:bCs w:val="false"/>
                <w:sz w:val="17"/>
                <w:szCs w:val="17"/>
              </w:rPr>
              <w:t xml:space="preserve">§24.1-24.2, Table 28 (RACI), HR16-24-1.</w:t>
            </w:r>
          </w:p>
        </w:tc>
        <w:tc>
          <w:tcPr>
            <w:tcW w:type="dxa" w:w="2400"/>
            <w:tcMar>
              <w:top w:type="dxa" w:w="60"/>
              <w:left w:type="dxa" w:w="80"/>
              <w:bottom w:type="dxa" w:w="60"/>
              <w:right w:type="dxa" w:w="80"/>
            </w:tcMar>
          </w:tcPr>
          <w:p>
            <w:r>
              <w:rPr>
                <w:b w:val="false"/>
                <w:bCs w:val="false"/>
                <w:sz w:val="17"/>
                <w:szCs w:val="17"/>
              </w:rPr>
              <w:t xml:space="preserve">NCIE-014/015/009/010.</w:t>
            </w:r>
          </w:p>
        </w:tc>
        <w:tc>
          <w:tcPr>
            <w:tcW w:type="dxa" w:w="2400"/>
            <w:tcMar>
              <w:top w:type="dxa" w:w="60"/>
              <w:left w:type="dxa" w:w="80"/>
              <w:bottom w:type="dxa" w:w="60"/>
              <w:right w:type="dxa" w:w="80"/>
            </w:tcMar>
          </w:tcPr>
          <w:p>
            <w:r>
              <w:rPr>
                <w:b w:val="false"/>
                <w:bCs w:val="false"/>
                <w:sz w:val="17"/>
                <w:szCs w:val="17"/>
              </w:rPr>
              <w:t xml:space="preserve">HR16-24-1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Performance, load, scalability &amp; capacity testing; HR focus: workload models/targets.</w:t>
            </w:r>
          </w:p>
        </w:tc>
        <w:tc>
          <w:tcPr>
            <w:tcW w:type="dxa" w:w="2600"/>
            <w:tcMar>
              <w:top w:type="dxa" w:w="60"/>
              <w:left w:type="dxa" w:w="80"/>
              <w:bottom w:type="dxa" w:w="60"/>
              <w:right w:type="dxa" w:w="80"/>
            </w:tcMar>
          </w:tcPr>
          <w:p>
            <w:r>
              <w:rPr>
                <w:b w:val="false"/>
                <w:bCs w:val="false"/>
                <w:sz w:val="17"/>
                <w:szCs w:val="17"/>
              </w:rPr>
              <w:t xml:space="preserve">§25.1-25.2, Table 29 (RACI), HR16-25-1.</w:t>
            </w:r>
          </w:p>
        </w:tc>
        <w:tc>
          <w:tcPr>
            <w:tcW w:type="dxa" w:w="2400"/>
            <w:tcMar>
              <w:top w:type="dxa" w:w="60"/>
              <w:left w:type="dxa" w:w="80"/>
              <w:bottom w:type="dxa" w:w="60"/>
              <w:right w:type="dxa" w:w="80"/>
            </w:tcMar>
          </w:tcPr>
          <w:p>
            <w:r>
              <w:rPr>
                <w:b w:val="false"/>
                <w:bCs w:val="false"/>
                <w:sz w:val="17"/>
                <w:szCs w:val="17"/>
              </w:rPr>
              <w:t xml:space="preserve">NCIE-002 NFRs; NCIE-014/015.</w:t>
            </w:r>
          </w:p>
        </w:tc>
        <w:tc>
          <w:tcPr>
            <w:tcW w:type="dxa" w:w="2400"/>
            <w:tcMar>
              <w:top w:type="dxa" w:w="60"/>
              <w:left w:type="dxa" w:w="80"/>
              <w:bottom w:type="dxa" w:w="60"/>
              <w:right w:type="dxa" w:w="80"/>
            </w:tcMar>
          </w:tcPr>
          <w:p>
            <w:r>
              <w:rPr>
                <w:b w:val="false"/>
                <w:bCs w:val="false"/>
                <w:sz w:val="17"/>
                <w:szCs w:val="17"/>
              </w:rPr>
              <w:t xml:space="preserve">HR16-25-1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Resilience, fault injection &amp; chaos validation; HR focus: fault-injection authority/safe environments.</w:t>
            </w:r>
          </w:p>
        </w:tc>
        <w:tc>
          <w:tcPr>
            <w:tcW w:type="dxa" w:w="2600"/>
            <w:tcMar>
              <w:top w:type="dxa" w:w="60"/>
              <w:left w:type="dxa" w:w="80"/>
              <w:bottom w:type="dxa" w:w="60"/>
              <w:right w:type="dxa" w:w="80"/>
            </w:tcMar>
          </w:tcPr>
          <w:p>
            <w:r>
              <w:rPr>
                <w:b w:val="false"/>
                <w:bCs w:val="false"/>
                <w:sz w:val="17"/>
                <w:szCs w:val="17"/>
              </w:rPr>
              <w:t xml:space="preserve">§26.1-26.2, Table 30 (RACI), HR16-26-1.</w:t>
            </w:r>
          </w:p>
        </w:tc>
        <w:tc>
          <w:tcPr>
            <w:tcW w:type="dxa" w:w="2400"/>
            <w:tcMar>
              <w:top w:type="dxa" w:w="60"/>
              <w:left w:type="dxa" w:w="80"/>
              <w:bottom w:type="dxa" w:w="60"/>
              <w:right w:type="dxa" w:w="80"/>
            </w:tcMar>
          </w:tcPr>
          <w:p>
            <w:r>
              <w:rPr>
                <w:b w:val="false"/>
                <w:bCs w:val="false"/>
                <w:sz w:val="17"/>
                <w:szCs w:val="17"/>
              </w:rPr>
              <w:t xml:space="preserve">NCIE-004 resilience; NCIE-015.</w:t>
            </w:r>
          </w:p>
        </w:tc>
        <w:tc>
          <w:tcPr>
            <w:tcW w:type="dxa" w:w="2400"/>
            <w:tcMar>
              <w:top w:type="dxa" w:w="60"/>
              <w:left w:type="dxa" w:w="80"/>
              <w:bottom w:type="dxa" w:w="60"/>
              <w:right w:type="dxa" w:w="80"/>
            </w:tcMar>
          </w:tcPr>
          <w:p>
            <w:r>
              <w:rPr>
                <w:b w:val="false"/>
                <w:bCs w:val="false"/>
                <w:sz w:val="17"/>
                <w:szCs w:val="17"/>
              </w:rPr>
              <w:t xml:space="preserve">HR16-26-1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27</w:t>
            </w:r>
          </w:p>
        </w:tc>
        <w:tc>
          <w:tcPr>
            <w:tcW w:type="dxa" w:w="3200"/>
            <w:tcMar>
              <w:top w:type="dxa" w:w="60"/>
              <w:left w:type="dxa" w:w="80"/>
              <w:bottom w:type="dxa" w:w="60"/>
              <w:right w:type="dxa" w:w="80"/>
            </w:tcMar>
          </w:tcPr>
          <w:p>
            <w:r>
              <w:rPr>
                <w:b w:val="false"/>
                <w:bCs w:val="false"/>
                <w:sz w:val="17"/>
                <w:szCs w:val="17"/>
              </w:rPr>
              <w:t xml:space="preserve">Observability, alerting &amp; incident-response verification; HR focus: incident exercise/acceptance.</w:t>
            </w:r>
          </w:p>
        </w:tc>
        <w:tc>
          <w:tcPr>
            <w:tcW w:type="dxa" w:w="2600"/>
            <w:tcMar>
              <w:top w:type="dxa" w:w="60"/>
              <w:left w:type="dxa" w:w="80"/>
              <w:bottom w:type="dxa" w:w="60"/>
              <w:right w:type="dxa" w:w="80"/>
            </w:tcMar>
          </w:tcPr>
          <w:p>
            <w:r>
              <w:rPr>
                <w:b w:val="false"/>
                <w:bCs w:val="false"/>
                <w:sz w:val="17"/>
                <w:szCs w:val="17"/>
              </w:rPr>
              <w:t xml:space="preserve">§27.1-27.2, Table 31 (RACI), HR16-27-1.</w:t>
            </w:r>
          </w:p>
        </w:tc>
        <w:tc>
          <w:tcPr>
            <w:tcW w:type="dxa" w:w="2400"/>
            <w:tcMar>
              <w:top w:type="dxa" w:w="60"/>
              <w:left w:type="dxa" w:w="80"/>
              <w:bottom w:type="dxa" w:w="60"/>
              <w:right w:type="dxa" w:w="80"/>
            </w:tcMar>
          </w:tcPr>
          <w:p>
            <w:r>
              <w:rPr>
                <w:b w:val="false"/>
                <w:bCs w:val="false"/>
                <w:sz w:val="17"/>
                <w:szCs w:val="17"/>
              </w:rPr>
              <w:t xml:space="preserve">NCIE-015 Ch.20-24; NCIE-010.</w:t>
            </w:r>
          </w:p>
        </w:tc>
        <w:tc>
          <w:tcPr>
            <w:tcW w:type="dxa" w:w="2400"/>
            <w:tcMar>
              <w:top w:type="dxa" w:w="60"/>
              <w:left w:type="dxa" w:w="80"/>
              <w:bottom w:type="dxa" w:w="60"/>
              <w:right w:type="dxa" w:w="80"/>
            </w:tcMar>
          </w:tcPr>
          <w:p>
            <w:r>
              <w:rPr>
                <w:b w:val="false"/>
                <w:bCs w:val="false"/>
                <w:sz w:val="17"/>
                <w:szCs w:val="17"/>
              </w:rPr>
              <w:t xml:space="preserve">HR16-27-1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28</w:t>
            </w:r>
          </w:p>
        </w:tc>
        <w:tc>
          <w:tcPr>
            <w:tcW w:type="dxa" w:w="3200"/>
            <w:tcMar>
              <w:top w:type="dxa" w:w="60"/>
              <w:left w:type="dxa" w:w="80"/>
              <w:bottom w:type="dxa" w:w="60"/>
              <w:right w:type="dxa" w:w="80"/>
            </w:tcMar>
          </w:tcPr>
          <w:p>
            <w:r>
              <w:rPr>
                <w:b w:val="false"/>
                <w:bCs w:val="false"/>
                <w:sz w:val="17"/>
                <w:szCs w:val="17"/>
              </w:rPr>
              <w:t xml:space="preserve">Regression, compatibility &amp; change-impact testing; HR focus: regression/release blocking.</w:t>
            </w:r>
          </w:p>
        </w:tc>
        <w:tc>
          <w:tcPr>
            <w:tcW w:type="dxa" w:w="2600"/>
            <w:tcMar>
              <w:top w:type="dxa" w:w="60"/>
              <w:left w:type="dxa" w:w="80"/>
              <w:bottom w:type="dxa" w:w="60"/>
              <w:right w:type="dxa" w:w="80"/>
            </w:tcMar>
          </w:tcPr>
          <w:p>
            <w:r>
              <w:rPr>
                <w:b w:val="false"/>
                <w:bCs w:val="false"/>
                <w:sz w:val="17"/>
                <w:szCs w:val="17"/>
              </w:rPr>
              <w:t xml:space="preserve">§28.1-28.2, Table 32 (RACI), HR16-28-1.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HR16-28-1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29</w:t>
            </w:r>
          </w:p>
        </w:tc>
        <w:tc>
          <w:tcPr>
            <w:tcW w:type="dxa" w:w="3200"/>
            <w:tcMar>
              <w:top w:type="dxa" w:w="60"/>
              <w:left w:type="dxa" w:w="80"/>
              <w:bottom w:type="dxa" w:w="60"/>
              <w:right w:type="dxa" w:w="80"/>
            </w:tcMar>
          </w:tcPr>
          <w:p>
            <w:r>
              <w:rPr>
                <w:b w:val="false"/>
                <w:bCs w:val="false"/>
                <w:sz w:val="17"/>
                <w:szCs w:val="17"/>
              </w:rPr>
              <w:t xml:space="preserve">Defect, triage, root-cause &amp; corrective-action governance; HR focus: severity/closure authority.</w:t>
            </w:r>
          </w:p>
        </w:tc>
        <w:tc>
          <w:tcPr>
            <w:tcW w:type="dxa" w:w="2600"/>
            <w:tcMar>
              <w:top w:type="dxa" w:w="60"/>
              <w:left w:type="dxa" w:w="80"/>
              <w:bottom w:type="dxa" w:w="60"/>
              <w:right w:type="dxa" w:w="80"/>
            </w:tcMar>
          </w:tcPr>
          <w:p>
            <w:r>
              <w:rPr>
                <w:b w:val="false"/>
                <w:bCs w:val="false"/>
                <w:sz w:val="17"/>
                <w:szCs w:val="17"/>
              </w:rPr>
              <w:t xml:space="preserve">§29.1-29.3, Table 33 Defect-State Matrix (item 68), Table 34 (RACI), HR16-29-1.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HR16-29-1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30</w:t>
            </w:r>
          </w:p>
        </w:tc>
        <w:tc>
          <w:tcPr>
            <w:tcW w:type="dxa" w:w="3200"/>
            <w:tcMar>
              <w:top w:type="dxa" w:w="60"/>
              <w:left w:type="dxa" w:w="80"/>
              <w:bottom w:type="dxa" w:w="60"/>
              <w:right w:type="dxa" w:w="80"/>
            </w:tcMar>
          </w:tcPr>
          <w:p>
            <w:r>
              <w:rPr>
                <w:b w:val="false"/>
                <w:bCs w:val="false"/>
                <w:sz w:val="17"/>
                <w:szCs w:val="17"/>
              </w:rPr>
              <w:t xml:space="preserve">Test evidence, results &amp; verification artifact model; HR focus: evidence retention/assurance.</w:t>
            </w:r>
          </w:p>
        </w:tc>
        <w:tc>
          <w:tcPr>
            <w:tcW w:type="dxa" w:w="2600"/>
            <w:tcMar>
              <w:top w:type="dxa" w:w="60"/>
              <w:left w:type="dxa" w:w="80"/>
              <w:bottom w:type="dxa" w:w="60"/>
              <w:right w:type="dxa" w:w="80"/>
            </w:tcMar>
          </w:tcPr>
          <w:p>
            <w:r>
              <w:rPr>
                <w:b w:val="false"/>
                <w:bCs w:val="false"/>
                <w:sz w:val="17"/>
                <w:szCs w:val="17"/>
              </w:rPr>
              <w:t xml:space="preserve">§30.1-30.3, Table 35 Test-Evidence Matrix (item 67), Table 36 (RACI), HR16-30-1.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HR16-30-1 classified LEGAL/POLICY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31</w:t>
            </w:r>
          </w:p>
        </w:tc>
        <w:tc>
          <w:tcPr>
            <w:tcW w:type="dxa" w:w="3200"/>
            <w:tcMar>
              <w:top w:type="dxa" w:w="60"/>
              <w:left w:type="dxa" w:w="80"/>
              <w:bottom w:type="dxa" w:w="60"/>
              <w:right w:type="dxa" w:w="80"/>
            </w:tcMar>
          </w:tcPr>
          <w:p>
            <w:r>
              <w:rPr>
                <w:b w:val="false"/>
                <w:bCs w:val="false"/>
                <w:sz w:val="17"/>
                <w:szCs w:val="17"/>
              </w:rPr>
              <w:t xml:space="preserve">Test execution governance &amp; independence; HR focus: independence/sign-off roles.</w:t>
            </w:r>
          </w:p>
        </w:tc>
        <w:tc>
          <w:tcPr>
            <w:tcW w:type="dxa" w:w="2600"/>
            <w:tcMar>
              <w:top w:type="dxa" w:w="60"/>
              <w:left w:type="dxa" w:w="80"/>
              <w:bottom w:type="dxa" w:w="60"/>
              <w:right w:type="dxa" w:w="80"/>
            </w:tcMar>
          </w:tcPr>
          <w:p>
            <w:r>
              <w:rPr>
                <w:b w:val="false"/>
                <w:bCs w:val="false"/>
                <w:sz w:val="17"/>
                <w:szCs w:val="17"/>
              </w:rPr>
              <w:t xml:space="preserve">§31.1-31.2, Table 37 (RACI), HR16-31-1.</w:t>
            </w:r>
          </w:p>
        </w:tc>
        <w:tc>
          <w:tcPr>
            <w:tcW w:type="dxa" w:w="2400"/>
            <w:tcMar>
              <w:top w:type="dxa" w:w="60"/>
              <w:left w:type="dxa" w:w="80"/>
              <w:bottom w:type="dxa" w:w="60"/>
              <w:right w:type="dxa" w:w="80"/>
            </w:tcMar>
          </w:tcPr>
          <w:p>
            <w:r>
              <w:rPr>
                <w:b w:val="false"/>
                <w:bCs w:val="false"/>
                <w:sz w:val="17"/>
                <w:szCs w:val="17"/>
              </w:rPr>
              <w:t xml:space="preserve">NCIE-008 RACI/SoD.</w:t>
            </w:r>
          </w:p>
        </w:tc>
        <w:tc>
          <w:tcPr>
            <w:tcW w:type="dxa" w:w="2400"/>
            <w:tcMar>
              <w:top w:type="dxa" w:w="60"/>
              <w:left w:type="dxa" w:w="80"/>
              <w:bottom w:type="dxa" w:w="60"/>
              <w:right w:type="dxa" w:w="80"/>
            </w:tcMar>
          </w:tcPr>
          <w:p>
            <w:r>
              <w:rPr>
                <w:b w:val="false"/>
                <w:bCs w:val="false"/>
                <w:sz w:val="17"/>
                <w:szCs w:val="17"/>
              </w:rPr>
              <w:t xml:space="preserve">HR16-31-1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32</w:t>
            </w:r>
          </w:p>
        </w:tc>
        <w:tc>
          <w:tcPr>
            <w:tcW w:type="dxa" w:w="3200"/>
            <w:tcMar>
              <w:top w:type="dxa" w:w="60"/>
              <w:left w:type="dxa" w:w="80"/>
              <w:bottom w:type="dxa" w:w="60"/>
              <w:right w:type="dxa" w:w="80"/>
            </w:tcMar>
          </w:tcPr>
          <w:p>
            <w:r>
              <w:rPr>
                <w:b w:val="false"/>
                <w:bCs w:val="false"/>
                <w:sz w:val="17"/>
                <w:szCs w:val="17"/>
              </w:rPr>
              <w:t xml:space="preserve">Acceptance, sign-off &amp; release-readiness matrix; HR focus: final/conditional acceptance authority.</w:t>
            </w:r>
          </w:p>
        </w:tc>
        <w:tc>
          <w:tcPr>
            <w:tcW w:type="dxa" w:w="2600"/>
            <w:tcMar>
              <w:top w:type="dxa" w:w="60"/>
              <w:left w:type="dxa" w:w="80"/>
              <w:bottom w:type="dxa" w:w="60"/>
              <w:right w:type="dxa" w:w="80"/>
            </w:tcMar>
          </w:tcPr>
          <w:p>
            <w:r>
              <w:rPr>
                <w:b w:val="false"/>
                <w:bCs w:val="false"/>
                <w:sz w:val="17"/>
                <w:szCs w:val="17"/>
              </w:rPr>
              <w:t xml:space="preserve">§32.1-32.3, Table 38 Acceptance/Sign-Off Matrix (item 66), Table 39 (RACI), HR16-32-1.</w:t>
            </w:r>
          </w:p>
        </w:tc>
        <w:tc>
          <w:tcPr>
            <w:tcW w:type="dxa" w:w="2400"/>
            <w:tcMar>
              <w:top w:type="dxa" w:w="60"/>
              <w:left w:type="dxa" w:w="80"/>
              <w:bottom w:type="dxa" w:w="60"/>
              <w:right w:type="dxa" w:w="80"/>
            </w:tcMar>
          </w:tcPr>
          <w:p>
            <w:r>
              <w:rPr>
                <w:b w:val="false"/>
                <w:bCs w:val="false"/>
                <w:sz w:val="17"/>
                <w:szCs w:val="17"/>
              </w:rPr>
              <w:t xml:space="preserve">NCIE-008 acceptance; NCIE-015 go-live.</w:t>
            </w:r>
          </w:p>
        </w:tc>
        <w:tc>
          <w:tcPr>
            <w:tcW w:type="dxa" w:w="2400"/>
            <w:tcMar>
              <w:top w:type="dxa" w:w="60"/>
              <w:left w:type="dxa" w:w="80"/>
              <w:bottom w:type="dxa" w:w="60"/>
              <w:right w:type="dxa" w:w="80"/>
            </w:tcMar>
          </w:tcPr>
          <w:p>
            <w:r>
              <w:rPr>
                <w:b w:val="false"/>
                <w:bCs w:val="false"/>
                <w:sz w:val="17"/>
                <w:szCs w:val="17"/>
              </w:rPr>
              <w:t xml:space="preserve">HR16-32-1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33</w:t>
            </w:r>
          </w:p>
        </w:tc>
        <w:tc>
          <w:tcPr>
            <w:tcW w:type="dxa" w:w="3200"/>
            <w:tcMar>
              <w:top w:type="dxa" w:w="60"/>
              <w:left w:type="dxa" w:w="80"/>
              <w:bottom w:type="dxa" w:w="60"/>
              <w:right w:type="dxa" w:w="80"/>
            </w:tcMar>
          </w:tcPr>
          <w:p>
            <w:r>
              <w:rPr>
                <w:b w:val="false"/>
                <w:bCs w:val="false"/>
                <w:sz w:val="17"/>
                <w:szCs w:val="17"/>
              </w:rPr>
              <w:t xml:space="preserve">Coverage, quality metrics &amp; residual-gap reporting; HR focus: quality metrics/thresholds.</w:t>
            </w:r>
          </w:p>
        </w:tc>
        <w:tc>
          <w:tcPr>
            <w:tcW w:type="dxa" w:w="2600"/>
            <w:tcMar>
              <w:top w:type="dxa" w:w="60"/>
              <w:left w:type="dxa" w:w="80"/>
              <w:bottom w:type="dxa" w:w="60"/>
              <w:right w:type="dxa" w:w="80"/>
            </w:tcMar>
          </w:tcPr>
          <w:p>
            <w:r>
              <w:rPr>
                <w:b w:val="false"/>
                <w:bCs w:val="false"/>
                <w:sz w:val="17"/>
                <w:szCs w:val="17"/>
              </w:rPr>
              <w:t xml:space="preserve">§33.1-33.2, Table 40 (RACI), HR16-33-1.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HR16-33-1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34</w:t>
            </w:r>
          </w:p>
        </w:tc>
        <w:tc>
          <w:tcPr>
            <w:tcW w:type="dxa" w:w="3200"/>
            <w:tcMar>
              <w:top w:type="dxa" w:w="60"/>
              <w:left w:type="dxa" w:w="80"/>
              <w:bottom w:type="dxa" w:w="60"/>
              <w:right w:type="dxa" w:w="80"/>
            </w:tcMar>
          </w:tcPr>
          <w:p>
            <w:r>
              <w:rPr>
                <w:b w:val="false"/>
                <w:bCs w:val="false"/>
                <w:sz w:val="17"/>
                <w:szCs w:val="17"/>
              </w:rPr>
              <w:t xml:space="preserve">Test reproducibility, flakiness &amp; result integrity; HR focus: flake/rerun policy.</w:t>
            </w:r>
          </w:p>
        </w:tc>
        <w:tc>
          <w:tcPr>
            <w:tcW w:type="dxa" w:w="2600"/>
            <w:tcMar>
              <w:top w:type="dxa" w:w="60"/>
              <w:left w:type="dxa" w:w="80"/>
              <w:bottom w:type="dxa" w:w="60"/>
              <w:right w:type="dxa" w:w="80"/>
            </w:tcMar>
          </w:tcPr>
          <w:p>
            <w:r>
              <w:rPr>
                <w:b w:val="false"/>
                <w:bCs w:val="false"/>
                <w:sz w:val="17"/>
                <w:szCs w:val="17"/>
              </w:rPr>
              <w:t xml:space="preserve">§34.1-34.2, Table 41 (RACI), HR16-34-1.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HR16-34-1 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35</w:t>
            </w:r>
          </w:p>
        </w:tc>
        <w:tc>
          <w:tcPr>
            <w:tcW w:type="dxa" w:w="3200"/>
            <w:tcMar>
              <w:top w:type="dxa" w:w="60"/>
              <w:left w:type="dxa" w:w="80"/>
              <w:bottom w:type="dxa" w:w="60"/>
              <w:right w:type="dxa" w:w="80"/>
            </w:tcMar>
          </w:tcPr>
          <w:p>
            <w:r>
              <w:rPr>
                <w:b w:val="false"/>
                <w:bCs w:val="false"/>
                <w:sz w:val="17"/>
                <w:szCs w:val="17"/>
              </w:rPr>
              <w:t xml:space="preserve">Verification of Human Review &amp; governance controls; HR focus: governance-control test authority.</w:t>
            </w:r>
          </w:p>
        </w:tc>
        <w:tc>
          <w:tcPr>
            <w:tcW w:type="dxa" w:w="2600"/>
            <w:tcMar>
              <w:top w:type="dxa" w:w="60"/>
              <w:left w:type="dxa" w:w="80"/>
              <w:bottom w:type="dxa" w:w="60"/>
              <w:right w:type="dxa" w:w="80"/>
            </w:tcMar>
          </w:tcPr>
          <w:p>
            <w:r>
              <w:rPr>
                <w:b w:val="false"/>
                <w:bCs w:val="false"/>
                <w:sz w:val="17"/>
                <w:szCs w:val="17"/>
              </w:rPr>
              <w:t xml:space="preserve">§35.1-35.2, Table 42 (RACI), HR16-35-1.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HR16-35-1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36</w:t>
            </w:r>
          </w:p>
        </w:tc>
        <w:tc>
          <w:tcPr>
            <w:tcW w:type="dxa" w:w="3200"/>
            <w:tcMar>
              <w:top w:type="dxa" w:w="60"/>
              <w:left w:type="dxa" w:w="80"/>
              <w:bottom w:type="dxa" w:w="60"/>
              <w:right w:type="dxa" w:w="80"/>
            </w:tcMar>
          </w:tcPr>
          <w:p>
            <w:r>
              <w:rPr>
                <w:b w:val="false"/>
                <w:bCs w:val="false"/>
                <w:sz w:val="17"/>
                <w:szCs w:val="17"/>
              </w:rPr>
              <w:t xml:space="preserve">Cross-specification end-to-end scenarios; HR focus: priority E2E scenarios.</w:t>
            </w:r>
          </w:p>
        </w:tc>
        <w:tc>
          <w:tcPr>
            <w:tcW w:type="dxa" w:w="2600"/>
            <w:tcMar>
              <w:top w:type="dxa" w:w="60"/>
              <w:left w:type="dxa" w:w="80"/>
              <w:bottom w:type="dxa" w:w="60"/>
              <w:right w:type="dxa" w:w="80"/>
            </w:tcMar>
          </w:tcPr>
          <w:p>
            <w:r>
              <w:rPr>
                <w:b w:val="false"/>
                <w:bCs w:val="false"/>
                <w:sz w:val="17"/>
                <w:szCs w:val="17"/>
              </w:rPr>
              <w:t xml:space="preserve">§36.1-36.2, Table 43 (RACI), HR16-36-1.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HR16-36-1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37</w:t>
            </w:r>
          </w:p>
        </w:tc>
        <w:tc>
          <w:tcPr>
            <w:tcW w:type="dxa" w:w="3200"/>
            <w:tcMar>
              <w:top w:type="dxa" w:w="60"/>
              <w:left w:type="dxa" w:w="80"/>
              <w:bottom w:type="dxa" w:w="60"/>
              <w:right w:type="dxa" w:w="80"/>
            </w:tcMar>
          </w:tcPr>
          <w:p>
            <w:r>
              <w:rPr>
                <w:b w:val="false"/>
                <w:bCs w:val="false"/>
                <w:sz w:val="17"/>
                <w:szCs w:val="17"/>
              </w:rPr>
              <w:t xml:space="preserve">Test automation in CI/CD &amp; continuous verification; HR focus: blocking/advisory automated gates.</w:t>
            </w:r>
          </w:p>
        </w:tc>
        <w:tc>
          <w:tcPr>
            <w:tcW w:type="dxa" w:w="2600"/>
            <w:tcMar>
              <w:top w:type="dxa" w:w="60"/>
              <w:left w:type="dxa" w:w="80"/>
              <w:bottom w:type="dxa" w:w="60"/>
              <w:right w:type="dxa" w:w="80"/>
            </w:tcMar>
          </w:tcPr>
          <w:p>
            <w:r>
              <w:rPr>
                <w:b w:val="false"/>
                <w:bCs w:val="false"/>
                <w:sz w:val="17"/>
                <w:szCs w:val="17"/>
              </w:rPr>
              <w:t xml:space="preserve">§37.1-37.2, Table 44 (RACI), HR16-37-1.</w:t>
            </w:r>
          </w:p>
        </w:tc>
        <w:tc>
          <w:tcPr>
            <w:tcW w:type="dxa" w:w="2400"/>
            <w:tcMar>
              <w:top w:type="dxa" w:w="60"/>
              <w:left w:type="dxa" w:w="80"/>
              <w:bottom w:type="dxa" w:w="60"/>
              <w:right w:type="dxa" w:w="80"/>
            </w:tcMar>
          </w:tcPr>
          <w:p>
            <w:r>
              <w:rPr>
                <w:b w:val="false"/>
                <w:bCs w:val="false"/>
                <w:sz w:val="17"/>
                <w:szCs w:val="17"/>
              </w:rPr>
              <w:t xml:space="preserve">NCIE-015 CI/CD; NCIE-004 test stack.</w:t>
            </w:r>
          </w:p>
        </w:tc>
        <w:tc>
          <w:tcPr>
            <w:tcW w:type="dxa" w:w="2400"/>
            <w:tcMar>
              <w:top w:type="dxa" w:w="60"/>
              <w:left w:type="dxa" w:w="80"/>
              <w:bottom w:type="dxa" w:w="60"/>
              <w:right w:type="dxa" w:w="80"/>
            </w:tcMar>
          </w:tcPr>
          <w:p>
            <w:r>
              <w:rPr>
                <w:b w:val="false"/>
                <w:bCs w:val="false"/>
                <w:sz w:val="17"/>
                <w:szCs w:val="17"/>
              </w:rPr>
              <w:t xml:space="preserve">HR16-37-1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38</w:t>
            </w:r>
          </w:p>
        </w:tc>
        <w:tc>
          <w:tcPr>
            <w:tcW w:type="dxa" w:w="3200"/>
            <w:tcMar>
              <w:top w:type="dxa" w:w="60"/>
              <w:left w:type="dxa" w:w="80"/>
              <w:bottom w:type="dxa" w:w="60"/>
              <w:right w:type="dxa" w:w="80"/>
            </w:tcMar>
          </w:tcPr>
          <w:p>
            <w:r>
              <w:rPr>
                <w:b w:val="false"/>
                <w:bCs w:val="false"/>
                <w:sz w:val="17"/>
                <w:szCs w:val="17"/>
              </w:rPr>
              <w:t xml:space="preserve">Production verification, smoke &amp; post-deployment validation; HR focus: allowed production tests/authority.</w:t>
            </w:r>
          </w:p>
        </w:tc>
        <w:tc>
          <w:tcPr>
            <w:tcW w:type="dxa" w:w="2600"/>
            <w:tcMar>
              <w:top w:type="dxa" w:w="60"/>
              <w:left w:type="dxa" w:w="80"/>
              <w:bottom w:type="dxa" w:w="60"/>
              <w:right w:type="dxa" w:w="80"/>
            </w:tcMar>
          </w:tcPr>
          <w:p>
            <w:r>
              <w:rPr>
                <w:b w:val="false"/>
                <w:bCs w:val="false"/>
                <w:sz w:val="17"/>
                <w:szCs w:val="17"/>
              </w:rPr>
              <w:t xml:space="preserve">§38.1-38.2, Table 45 (RACI), HR16-38-1.</w:t>
            </w:r>
          </w:p>
        </w:tc>
        <w:tc>
          <w:tcPr>
            <w:tcW w:type="dxa" w:w="2400"/>
            <w:tcMar>
              <w:top w:type="dxa" w:w="60"/>
              <w:left w:type="dxa" w:w="80"/>
              <w:bottom w:type="dxa" w:w="60"/>
              <w:right w:type="dxa" w:w="80"/>
            </w:tcMar>
          </w:tcPr>
          <w:p>
            <w:r>
              <w:rPr>
                <w:b w:val="false"/>
                <w:bCs w:val="false"/>
                <w:sz w:val="17"/>
                <w:szCs w:val="17"/>
              </w:rPr>
              <w:t xml:space="preserve">NCIE-001-015.</w:t>
            </w:r>
          </w:p>
        </w:tc>
        <w:tc>
          <w:tcPr>
            <w:tcW w:type="dxa" w:w="2400"/>
            <w:tcMar>
              <w:top w:type="dxa" w:w="60"/>
              <w:left w:type="dxa" w:w="80"/>
              <w:bottom w:type="dxa" w:w="60"/>
              <w:right w:type="dxa" w:w="80"/>
            </w:tcMar>
          </w:tcPr>
          <w:p>
            <w:r>
              <w:rPr>
                <w:b w:val="false"/>
                <w:bCs w:val="false"/>
                <w:sz w:val="17"/>
                <w:szCs w:val="17"/>
              </w:rPr>
              <w:t xml:space="preserve">HR16-38-1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39</w:t>
            </w:r>
          </w:p>
        </w:tc>
        <w:tc>
          <w:tcPr>
            <w:tcW w:type="dxa" w:w="3200"/>
            <w:tcMar>
              <w:top w:type="dxa" w:w="60"/>
              <w:left w:type="dxa" w:w="80"/>
              <w:bottom w:type="dxa" w:w="60"/>
              <w:right w:type="dxa" w:w="80"/>
            </w:tcMar>
          </w:tcPr>
          <w:p>
            <w:r>
              <w:rPr>
                <w:b w:val="false"/>
                <w:bCs w:val="false"/>
                <w:sz w:val="17"/>
                <w:szCs w:val="17"/>
              </w:rPr>
              <w:t xml:space="preserve">Human Review Register &amp; open testing decisions; HR focus: register/decide register items.</w:t>
            </w:r>
          </w:p>
        </w:tc>
        <w:tc>
          <w:tcPr>
            <w:tcW w:type="dxa" w:w="2600"/>
            <w:tcMar>
              <w:top w:type="dxa" w:w="60"/>
              <w:left w:type="dxa" w:w="80"/>
              <w:bottom w:type="dxa" w:w="60"/>
              <w:right w:type="dxa" w:w="80"/>
            </w:tcMar>
          </w:tcPr>
          <w:p>
            <w:r>
              <w:rPr>
                <w:b w:val="false"/>
                <w:bCs w:val="false"/>
                <w:sz w:val="17"/>
                <w:szCs w:val="17"/>
              </w:rPr>
              <w:t xml:space="preserve">§39.0-39.6, Table 46 (summary), Table 47 (complete register, 40 items), HR16-39-1.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69); approved Skeletal v0.1 Chapter 39 Salient Things to Note.</w:t>
            </w:r>
          </w:p>
        </w:tc>
        <w:tc>
          <w:tcPr>
            <w:tcW w:type="dxa" w:w="2400"/>
            <w:tcMar>
              <w:top w:type="dxa" w:w="60"/>
              <w:left w:type="dxa" w:w="80"/>
              <w:bottom w:type="dxa" w:w="60"/>
              <w:right w:type="dxa" w:w="80"/>
            </w:tcMar>
          </w:tcPr>
          <w:p>
            <w:r>
              <w:rPr>
                <w:b w:val="false"/>
                <w:bCs w:val="false"/>
                <w:sz w:val="17"/>
                <w:szCs w:val="17"/>
              </w:rPr>
              <w:t xml:space="preserve">HR16-39-1 (this chapter's own item) included in Table 47 and totals from the start — the NCIE-008 register-reconciliation defect and NCIE-009 salient-note omission were both designed around, not repeated. All 40 items consolidated.</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40</w:t>
            </w:r>
          </w:p>
        </w:tc>
        <w:tc>
          <w:tcPr>
            <w:tcW w:type="dxa" w:w="3200"/>
            <w:tcMar>
              <w:top w:type="dxa" w:w="60"/>
              <w:left w:type="dxa" w:w="80"/>
              <w:bottom w:type="dxa" w:w="60"/>
              <w:right w:type="dxa" w:w="80"/>
            </w:tcMar>
          </w:tcPr>
          <w:p>
            <w:r>
              <w:rPr>
                <w:b w:val="false"/>
                <w:bCs w:val="false"/>
                <w:sz w:val="17"/>
                <w:szCs w:val="17"/>
              </w:rPr>
              <w:t xml:space="preserve">Traceability, acceptance &amp; final verification handover; HR focus: skeleton approval/expansion authorization.</w:t>
            </w:r>
          </w:p>
        </w:tc>
        <w:tc>
          <w:tcPr>
            <w:tcW w:type="dxa" w:w="2600"/>
            <w:tcMar>
              <w:top w:type="dxa" w:w="60"/>
              <w:left w:type="dxa" w:w="80"/>
              <w:bottom w:type="dxa" w:w="60"/>
              <w:right w:type="dxa" w:w="80"/>
            </w:tcMar>
          </w:tcPr>
          <w:p>
            <w:r>
              <w:rPr>
                <w:b w:val="false"/>
                <w:bCs w:val="false"/>
                <w:sz w:val="17"/>
                <w:szCs w:val="17"/>
              </w:rPr>
              <w:t xml:space="preserve">§40.0-40.6, Table 48 (traceability matrix, 40 rows), Table 49 (final verification handover, 3 rows), HR16-40-1.</w:t>
            </w:r>
          </w:p>
        </w:tc>
        <w:tc>
          <w:tcPr>
            <w:tcW w:type="dxa" w:w="2400"/>
            <w:tcMar>
              <w:top w:type="dxa" w:w="60"/>
              <w:left w:type="dxa" w:w="80"/>
              <w:bottom w:type="dxa" w:w="60"/>
              <w:right w:type="dxa" w:w="80"/>
            </w:tcMar>
          </w:tcPr>
          <w:p>
            <w:r>
              <w:rPr>
                <w:b w:val="false"/>
                <w:bCs w:val="false"/>
                <w:sz w:val="17"/>
                <w:szCs w:val="17"/>
              </w:rPr>
              <w:t xml:space="preserve">Approved NCIE-001-015; approved NCIE-016 Skeletal v0.1.</w:t>
            </w:r>
          </w:p>
        </w:tc>
        <w:tc>
          <w:tcPr>
            <w:tcW w:type="dxa" w:w="2400"/>
            <w:tcMar>
              <w:top w:type="dxa" w:w="60"/>
              <w:left w:type="dxa" w:w="80"/>
              <w:bottom w:type="dxa" w:w="60"/>
              <w:right w:type="dxa" w:w="80"/>
            </w:tcMar>
          </w:tcPr>
          <w:p>
            <w:r>
              <w:rPr>
                <w:b w:val="false"/>
                <w:bCs w:val="false"/>
                <w:sz w:val="17"/>
                <w:szCs w:val="17"/>
              </w:rPr>
              <w:t xml:space="preserve">HR16-40-1 unchanged, RESOLVED BY UPSTREAM BASELINE (skeleton approval already satisfies it).</w:t>
            </w:r>
          </w:p>
        </w:tc>
        <w:tc>
          <w:tcPr>
            <w:tcW w:type="dxa" w:w="1300"/>
            <w:tcMar>
              <w:top w:type="dxa" w:w="60"/>
              <w:left w:type="dxa" w:w="80"/>
              <w:bottom w:type="dxa" w:w="60"/>
              <w:right w:type="dxa" w:w="80"/>
            </w:tcMar>
          </w:tcPr>
          <w:p>
            <w:r>
              <w:rPr>
                <w:b w:val="false"/>
                <w:bCs w:val="false"/>
                <w:sz w:val="17"/>
                <w:szCs w:val="17"/>
              </w:rPr>
              <w:t xml:space="preserve">EXPANDED</w:t>
            </w:r>
          </w:p>
        </w:tc>
      </w:tr>
    </w:tbl>
    <w:p>
      <w:pPr>
        <w:spacing w:before="200"/>
      </w:pPr>
    </w:p>
    <w:p>
      <w:pPr>
        <w:spacing w:after="80" w:before="200"/>
      </w:pPr>
      <w:r>
        <w:rPr>
          <w:b/>
          <w:bCs/>
          <w:sz w:val="20"/>
          <w:szCs w:val="20"/>
        </w:rPr>
        <w:t xml:space="preserve">Consolidated Matrices Added (Directive Items 63-68)</w:t>
      </w:r>
    </w:p>
    <w:p>
      <w:pPr>
        <w:spacing w:after="200"/>
      </w:pPr>
      <w:r>
        <w:rPr>
          <w:sz w:val="19"/>
          <w:szCs w:val="19"/>
        </w:rPr>
        <w:t xml:space="preserve">Table 2 (Chapter 1) — Cross-Spec Test Catalogue, mapping every NCIE-001-015 domain to its required test classes without executing any of them. Table 4 (Chapter 2) — Test-State Matrix, fixing seven non-substitutable verification states. Table 7 (Chapter 4) — Master RTM, whose Result column reads NOT RUN throughout at this specification stage. Table 33 (Chapter 29) — Defect-State Matrix, giving deferred/accepted its own governed closure path distinct from root-cause elimination. Table 35 (Chapter 30) — Test-Evidence Matrix, fixing minimum evidence fields per test class. Table 38 (Chapter 32) — Acceptance/Sign-Off Matrix, whose Decision/Conditions column reads Pending throughout since no acceptance decision has been taken. Every other chapter carries its own chapter-appropriate RACI/control-ownership table.</w:t>
      </w:r>
    </w:p>
    <w:p>
      <w:pPr>
        <w:spacing w:after="80" w:before="200"/>
      </w:pPr>
      <w:r>
        <w:rPr>
          <w:b/>
          <w:bCs/>
          <w:sz w:val="20"/>
          <w:szCs w:val="20"/>
        </w:rPr>
        <w:t xml:space="preserve">Human Review Register Reconciliation</w:t>
      </w:r>
    </w:p>
    <w:p>
      <w:pPr>
        <w:spacing w:after="200"/>
      </w:pPr>
      <w:r>
        <w:rPr>
          <w:sz w:val="19"/>
          <w:szCs w:val="19"/>
        </w:rPr>
        <w:t xml:space="preserve">40 Human Review items total: 38 items from Chapters 1-38 (one per chapter, mechanically extracted from each chapter's own Human Review Focus bullet text), plus HR16-39-1 (Chapter 39's own item) and HR16-40-1 (Chapter 40's own item) — both defined once and included in the register from the start, per the lessons learned from the NCIE-008 v1.0 correction (register-reconciliation omission) and the NCIE-009 v1.0 correction (Salient Things to Note omission), rather than discovered afterward. Classification breakdown: 27 Institutional Confirmation Required, 6 Security/Sovereignty Confirmation Required, 5 Engineering/Infrastructure Discovery Required, 1 Legal/Policy Confirmation Required, 1 Resolved by Upstream Baseline. 38 Blocking / 2 Non-Blocking. Every NCIE-016 item was individually checked against the existing NCIE-008–015 Human Review registers per directive item 70's upstream-deduplication rule; none was found to restate an identical authority/threshold/environment/security/UX/operations question, so no cross-reference deduplication was required for this edition. No item manufactures closure of a decision the approved skeleton, the approved NCIE-008–015 layers, or the approved upstream chain does not itself settle.</w:t>
      </w:r>
    </w:p>
    <w:p>
      <w:pPr>
        <w:spacing w:after="80" w:before="200"/>
      </w:pPr>
      <w:r>
        <w:rPr>
          <w:b/>
          <w:bCs/>
          <w:sz w:val="20"/>
          <w:szCs w:val="20"/>
        </w:rPr>
        <w:t xml:space="preserve">Skeleton Fidelity Statement</w:t>
      </w:r>
    </w:p>
    <w:p>
      <w:r>
        <w:rPr>
          <w:sz w:val="19"/>
          <w:szCs w:val="19"/>
        </w:rPr>
        <w:t xml:space="preserve">Every approved Chapter Purpose, Salient Things to Note, Principal Component, Upstream Dependency/Authority and Human Review Focus from the approved NCIE-016 Skeletal v0.1 is substantively represented in the corresponding v1.0 chapter above, including an explicit Salient Things to Note subsection in all 40 chapters — independently re-verified against the final assembled document by a programmatic scan (directive item 86), not assumed from the build script; none is omitted and none is conceptually inverted (Chapter 40 §40.3).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2026-09-16T09:42:29.553Z</dcterms:created>
  <dcterms:modified xsi:type="dcterms:W3CDTF">2026-09-16T09:42:29.562Z</dcterms:modified>
</cp:coreProperties>
</file>

<file path=docProps/custom.xml><?xml version="1.0" encoding="utf-8"?>
<Properties xmlns="http://schemas.openxmlformats.org/officeDocument/2006/custom-properties" xmlns:vt="http://schemas.openxmlformats.org/officeDocument/2006/docPropsVTypes"/>
</file>