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NCIE-017 CLAUDE FULL-EXPANSION PRODUCTION DIRECTIVE</w:t>
      </w:r>
    </w:p>
    <w:p>
      <w:pPr>
        <w:pStyle w:val="Heading1"/>
      </w:pPr>
      <w:r>
        <w:t>Approved Skeletal v0.1 → Full Implementation Roadmap &amp; Work Breakdown Specification v1.0</w:t>
      </w:r>
    </w:p>
    <w:p>
      <w:r>
        <w:t>CONTROLLED EXPANSION. The Human-approved 40-chapter NCIE-017 Skeletal v0.1 is structurally authoritative. Full v1.0 remains IN DEVELOPMENT / FOR HUMAN REVIEW until separately approved. This directive authorizes roadmap/specification production only; it does not authorize implementation execution.</w:t>
      </w:r>
    </w:p>
    <w:p>
      <w:pPr>
        <w:pStyle w:val="Heading2"/>
      </w:pPr>
      <w:r>
        <w:t>1. Execution mandate</w:t>
      </w:r>
    </w:p>
    <w:p>
      <w:r>
        <w:t>Expand the Human-approved NCIE-017 Skeletal v0.1 into the complete NCIE-017 v1.0 implementation-roadmap/work-breakdown specification. Elaborate the approved planning architecture; do not redesign upstream NCIE-001–016 and do not execute implementation.</w:t>
      </w:r>
    </w:p>
    <w:p>
      <w:pPr>
        <w:pStyle w:val="Heading2"/>
      </w:pPr>
      <w:r>
        <w:t>2. Authority chain</w:t>
      </w:r>
    </w:p>
    <w:p>
      <w:r>
        <w:t>Use the supplied approved NCIE-001 v1.3 through NCIE-016 v1.0 as substantive authority and the approved NCIE-017 Skeletal v0.1 as structural authority.</w:t>
      </w:r>
    </w:p>
    <w:p>
      <w:pPr>
        <w:pStyle w:val="Heading2"/>
      </w:pPr>
      <w:r>
        <w:t>3. Formal-title control</w:t>
      </w:r>
    </w:p>
    <w:p>
      <w:r>
        <w:t>Reconcile the exact NCIE-017 formal title against any supplied controlled suite register. A wording-only difference may update document control; a material scope discrepancy requires halt and Human Review.</w:t>
      </w:r>
    </w:p>
    <w:p>
      <w:pPr>
        <w:pStyle w:val="Heading2"/>
      </w:pPr>
      <w:r>
        <w:t>4. Structural lock</w:t>
      </w:r>
    </w:p>
    <w:p>
      <w:r>
        <w:t>Preserve exactly 40 approved chapters, titles, order and boundaries. No addition, deletion, merge, split or wholesale renumbering.</w:t>
      </w:r>
    </w:p>
    <w:p>
      <w:pPr>
        <w:pStyle w:val="Heading2"/>
      </w:pPr>
      <w:r>
        <w:t>5. Skeleton fidelity</w:t>
      </w:r>
    </w:p>
    <w:p>
      <w:r>
        <w:t>Expand every approved Chapter Purpose, Salient Things to Note, Principal Components, Upstream Dependencies/Authority and Human Review Focus.</w:t>
      </w:r>
    </w:p>
    <w:p>
      <w:pPr>
        <w:pStyle w:val="Heading2"/>
      </w:pPr>
      <w:r>
        <w:t>6. Salient-note hard gate</w:t>
      </w:r>
    </w:p>
    <w:p>
      <w:r>
        <w:t>Every chapter must retain an explicit Salient Things to Note subsection. Mechanically verify 40/40.</w:t>
      </w:r>
    </w:p>
    <w:p>
      <w:pPr>
        <w:pStyle w:val="Heading2"/>
      </w:pPr>
      <w:r>
        <w:t>7. Planning-only boundary</w:t>
      </w:r>
    </w:p>
    <w:p>
      <w:r>
        <w:t>NCIE-017 sequences implementation work, dependencies, gates and handovers. It must not claim that work has started/completed, tests passed, blockers cleared, releases authorized or production accepted.</w:t>
      </w:r>
    </w:p>
    <w:p>
      <w:pPr>
        <w:pStyle w:val="Heading2"/>
      </w:pPr>
      <w:r>
        <w:t>8. Human-primary boundary</w:t>
      </w:r>
    </w:p>
    <w:p>
      <w:r>
        <w:t>Claude must not invent implementation authority, institutional priority, risk acceptance, release/go-live authority or silently resolve Human Review.</w:t>
      </w:r>
    </w:p>
    <w:p>
      <w:pPr>
        <w:pStyle w:val="Heading2"/>
      </w:pPr>
      <w:r>
        <w:t>9. No date/budget/resource invention</w:t>
      </w:r>
    </w:p>
    <w:p>
      <w:r>
        <w:t>Do not invent calendar dates, durations, budgets, named personnel, team capacity, procurement lead times, delivery commitments or resource availability.</w:t>
      </w:r>
    </w:p>
    <w:p>
      <w:pPr>
        <w:pStyle w:val="Heading2"/>
      </w:pPr>
      <w:r>
        <w:t>10. No platform invention</w:t>
      </w:r>
    </w:p>
    <w:p>
      <w:r>
        <w:t>Do not select implementation, project-management, CI/CD, infrastructure, database, test-management or collaboration products unless explicitly fixed upstream.</w:t>
      </w:r>
    </w:p>
    <w:p>
      <w:pPr>
        <w:pStyle w:val="Heading2"/>
      </w:pPr>
      <w:r>
        <w:t>11. Controlled unresolved state</w:t>
      </w:r>
    </w:p>
    <w:p>
      <w:r>
        <w:t>Unresolved roadmap/sequencing choices become precise HR17 items with classification, blocking scope and upstream dependency.</w:t>
      </w:r>
    </w:p>
    <w:p>
      <w:pPr>
        <w:pStyle w:val="Heading2"/>
      </w:pPr>
      <w:r>
        <w:t>12. Roadmap-state invariants</w:t>
      </w:r>
    </w:p>
    <w:p>
      <w:r>
        <w:t>Preserve ROADMAP ≠ IMPLEMENTATION; WORK PACKAGE DEFINED ≠ WORK STARTED; WORK STARTED ≠ WORK COMPLETED.</w:t>
      </w:r>
    </w:p>
    <w:p>
      <w:pPr>
        <w:pStyle w:val="Heading2"/>
      </w:pPr>
      <w:r>
        <w:t>13. Dependency/schedule invariants</w:t>
      </w:r>
    </w:p>
    <w:p>
      <w:r>
        <w:t>Preserve DEPENDENCY IDENTIFIED ≠ DEPENDENCY RESOLVED; SEQUENCED ≠ SCHEDULED DATE; ESTIMATE ≠ COMMITMENT.</w:t>
      </w:r>
    </w:p>
    <w:p>
      <w:pPr>
        <w:pStyle w:val="Heading2"/>
      </w:pPr>
      <w:r>
        <w:t>14. Governance invariants</w:t>
      </w:r>
    </w:p>
    <w:p>
      <w:r>
        <w:t>Preserve BLOCKER RECORDED ≠ BLOCKER CLEARED; HUMAN REVIEW ITEM ≠ IMPLEMENTATION DECISION; ARCHITECTURE APPROVED ≠ BUILD AUTHORIZED.</w:t>
      </w:r>
    </w:p>
    <w:p>
      <w:pPr>
        <w:pStyle w:val="Heading2"/>
      </w:pPr>
      <w:r>
        <w:t>15. Build/test/acceptance invariants</w:t>
      </w:r>
    </w:p>
    <w:p>
      <w:r>
        <w:t>Preserve BUILD COMPLETE ≠ TEST PASSED; TEST PASSED ≠ PRODUCTION ACCEPTANCE; CODE MERGED ≠ RELEASE AUTHORIZED; DEPLOYED ≠ APPROVED.</w:t>
      </w:r>
    </w:p>
    <w:p>
      <w:pPr>
        <w:pStyle w:val="Heading2"/>
      </w:pPr>
      <w:r>
        <w:t>16. Handover invariant</w:t>
      </w:r>
    </w:p>
    <w:p>
      <w:r>
        <w:t>Preserve HANDOVER PACKAGE ≠ CREDENTIAL TRANSFER. Never place secrets, passwords, tokens, private keys or live credentials in roadmap/handover artifacts.</w:t>
      </w:r>
    </w:p>
    <w:p>
      <w:pPr>
        <w:pStyle w:val="Heading2"/>
      </w:pPr>
      <w:r>
        <w:t>17. Planning-analysis invariants</w:t>
      </w:r>
    </w:p>
    <w:p>
      <w:r>
        <w:t>Preserve PARALLELIZABLE ≠ INDEPENDENT; CRITICAL PATH ≠ INSTITUTIONAL PRIORITY; MILESTONE REACHED ≠ ACCEPTANCE GATE PASSED.</w:t>
      </w:r>
    </w:p>
    <w:p>
      <w:pPr>
        <w:pStyle w:val="Heading2"/>
      </w:pPr>
      <w:r>
        <w:t>18. Automation/change invariants</w:t>
      </w:r>
    </w:p>
    <w:p>
      <w:r>
        <w:t>Preserve AUTOMATION ≠ UNBOUNDED DELIVERY AUTHORITY; CHANGE IN SEQUENCE ≠ CHANGE IN ARCHITECTURE.</w:t>
      </w:r>
    </w:p>
    <w:p>
      <w:pPr>
        <w:pStyle w:val="Heading2"/>
      </w:pPr>
      <w:r>
        <w:t>19. Evidence invariant</w:t>
      </w:r>
    </w:p>
    <w:p>
      <w:r>
        <w:t>Preserve IMPLEMENTATION EVIDENCE ≠ ACCEPTANCE EVIDENCE UNLESS GOVERNED AS SUCH.</w:t>
      </w:r>
    </w:p>
    <w:p>
      <w:pPr>
        <w:pStyle w:val="Heading2"/>
      </w:pPr>
      <w:r>
        <w:t>20. Upstream semantic lock</w:t>
      </w:r>
    </w:p>
    <w:p>
      <w:r>
        <w:t>NCIE-017 consumes the approved NCIE-001–016 architecture. If sequencing exposes ambiguity, contradiction or an unresolved upstream dependency, record/escalate it; do not silently repair upstream semantics.</w:t>
      </w:r>
    </w:p>
    <w:p>
      <w:pPr>
        <w:pStyle w:val="Heading2"/>
      </w:pPr>
      <w:r>
        <w:t>21. NCIE-016 boundary</w:t>
      </w:r>
    </w:p>
    <w:p>
      <w:r>
        <w:t>NCIE-016 verification remains authoritative for test/verification/acceptance architecture. NCIE-017 schedules and consumes verification gates but does not mark tests executed/passed without actual controlled evidence.</w:t>
      </w:r>
    </w:p>
    <w:p>
      <w:pPr>
        <w:pStyle w:val="Heading2"/>
      </w:pPr>
      <w:r>
        <w:t>22. NCIE-015 boundary</w:t>
      </w:r>
    </w:p>
    <w:p>
      <w:r>
        <w:t>NCIE-015 deployment/go-live operational controls remain authoritative. NCIE-017 sequences them but cannot self-authorize release, cutover, emergency change or production acceptance.</w:t>
      </w:r>
    </w:p>
    <w:p>
      <w:pPr>
        <w:pStyle w:val="Heading2"/>
      </w:pPr>
      <w:r>
        <w:t>23. Chapter 1 expansion — Mandate, Authority Chain &amp; Roadmap Boundary</w:t>
      </w:r>
    </w:p>
    <w:p>
      <w:r>
        <w:t>Define mandate, authority chain, scope, exclusions, roadmap outputs and handovers; roadmap approval is not execution authorization.</w:t>
      </w:r>
    </w:p>
    <w:p>
      <w:pPr>
        <w:pStyle w:val="Heading2"/>
      </w:pPr>
      <w:r>
        <w:t>24. Chapter 2 expansion — Implementation Planning Doctrine</w:t>
      </w:r>
    </w:p>
    <w:p>
      <w:r>
        <w:t>Expand evidence-based, dependency-aware, Human-governed planning doctrine; separate sequence, estimate, commitment, execution and acceptance.</w:t>
      </w:r>
    </w:p>
    <w:p>
      <w:pPr>
        <w:pStyle w:val="Heading2"/>
      </w:pPr>
      <w:r>
        <w:t>25. Chapter 3 expansion — Approved Baseline &amp; Architecture Freeze Register</w:t>
      </w:r>
    </w:p>
    <w:p>
      <w:r>
        <w:t>Build approved-baseline register for NCIE-001–016 with document/version/status/freeze/supersession references; do not silently plan from superseded baselines.</w:t>
      </w:r>
    </w:p>
    <w:p>
      <w:pPr>
        <w:pStyle w:val="Heading2"/>
      </w:pPr>
      <w:r>
        <w:t>26. Chapter 4 expansion — Human Review Dependency Intake</w:t>
      </w:r>
    </w:p>
    <w:p>
      <w:r>
        <w:t>Define intake of unresolved HR1–HR16 decisions as explicit dependencies with source, classification, blocking scope, owner-authority reference and status; unresolved remains unresolved.</w:t>
      </w:r>
    </w:p>
    <w:p>
      <w:pPr>
        <w:pStyle w:val="Heading2"/>
      </w:pPr>
      <w:r>
        <w:t>27. Chapter 5 expansion — Requirement-to-Implementation Traceability</w:t>
      </w:r>
    </w:p>
    <w:p>
      <w:r>
        <w:t>Define requirement→WBS/work package→implementation evidence→NCIE-016 test→acceptance traceability without rewriting requirements.</w:t>
      </w:r>
    </w:p>
    <w:p>
      <w:pPr>
        <w:pStyle w:val="Heading2"/>
      </w:pPr>
      <w:r>
        <w:t>28. Chapter 6 expansion — Work Breakdown Structure (WBS) Architecture</w:t>
      </w:r>
    </w:p>
    <w:p>
      <w:r>
        <w:t>Define programme/workstream/epic/work-package/task decomposition and stable identifiers; preserve upstream ownership boundaries.</w:t>
      </w:r>
    </w:p>
    <w:p>
      <w:pPr>
        <w:pStyle w:val="Heading2"/>
      </w:pPr>
      <w:r>
        <w:t>29. Chapter 7 expansion — Work Package Definition Standard</w:t>
      </w:r>
    </w:p>
    <w:p>
      <w:r>
        <w:t>Define work-package objective, inputs, outputs, dependencies, owner role, assumptions, risks, evidence, Definition of Ready and Definition of Done.</w:t>
      </w:r>
    </w:p>
    <w:p>
      <w:pPr>
        <w:pStyle w:val="Heading2"/>
      </w:pPr>
      <w:r>
        <w:t>30. Chapter 8 expansion — Dependency Graph &amp; Predecessor Logic</w:t>
      </w:r>
    </w:p>
    <w:p>
      <w:r>
        <w:t>Define predecessor/successor/blocking/conditional/external dependencies, cycle detection, dependency evidence and escalation.</w:t>
      </w:r>
    </w:p>
    <w:p>
      <w:pPr>
        <w:pStyle w:val="Heading2"/>
      </w:pPr>
      <w:r>
        <w:t>31. Chapter 9 expansion — Build Sequencing &amp; Critical-Path Method</w:t>
      </w:r>
    </w:p>
    <w:p>
      <w:r>
        <w:t>Define logical build sequence, critical-path method concepts, float/dependency constraints and gate effects without dates or institutional priority claims.</w:t>
      </w:r>
    </w:p>
    <w:p>
      <w:pPr>
        <w:pStyle w:val="Heading2"/>
      </w:pPr>
      <w:r>
        <w:t>32. Chapter 10 expansion — Parallelization &amp; Workstream Coordination</w:t>
      </w:r>
    </w:p>
    <w:p>
      <w:r>
        <w:t>Define parallel workstreams, shared contracts/data/security dependencies, integration points and synchronization gates; parallelizable ≠ independent.</w:t>
      </w:r>
    </w:p>
    <w:p>
      <w:pPr>
        <w:pStyle w:val="Heading2"/>
      </w:pPr>
      <w:r>
        <w:t>33. Chapter 11 expansion — Milestone &amp; Stage-Gate Architecture</w:t>
      </w:r>
    </w:p>
    <w:p>
      <w:r>
        <w:t>Define milestone/stage-gate catalogue with required evidence, approver authority reference, blocked/conditional states and no false gate passage.</w:t>
      </w:r>
    </w:p>
    <w:p>
      <w:pPr>
        <w:pStyle w:val="Heading2"/>
      </w:pPr>
      <w:r>
        <w:t>34. Chapter 12 expansion — Entry / Exit Criteria by Stage</w:t>
      </w:r>
    </w:p>
    <w:p>
      <w:r>
        <w:t>Define stage entry/exit evidence, blockers, required tests, approvals, residual gaps and conditions; labels cannot substitute for evidence.</w:t>
      </w:r>
    </w:p>
    <w:p>
      <w:pPr>
        <w:pStyle w:val="Heading2"/>
      </w:pPr>
      <w:r>
        <w:t>35. Chapter 13 expansion — Architecture-to-Codex / Implementation Handover</w:t>
      </w:r>
    </w:p>
    <w:p>
      <w:r>
        <w:t>Define Architecture-to-Codex/implementation handover contents: approved architecture references, WBS, RTM links, acceptance criteria, runbooks/backlog/deployment/recovery references; exclude credentials/secrets.</w:t>
      </w:r>
    </w:p>
    <w:p>
      <w:pPr>
        <w:pStyle w:val="Heading2"/>
      </w:pPr>
      <w:r>
        <w:t>36. Chapter 14 expansion — Implementation Backlog &amp; Prioritization</w:t>
      </w:r>
    </w:p>
    <w:p>
      <w:r>
        <w:t>Define implementation backlog fields, priority rationale, dependencies, risks, HR blockers, readiness and change traceability; priority cannot override governance/security blockers.</w:t>
      </w:r>
    </w:p>
    <w:p>
      <w:pPr>
        <w:pStyle w:val="Heading2"/>
      </w:pPr>
      <w:r>
        <w:t>37. Chapter 15 expansion — Foundation / Platform Workstream</w:t>
      </w:r>
    </w:p>
    <w:p>
      <w:r>
        <w:t>Sequence shared foundation/platform capabilities without inventing unresolved technologies or treating foundation build as authorization.</w:t>
      </w:r>
    </w:p>
    <w:p>
      <w:pPr>
        <w:pStyle w:val="Heading2"/>
      </w:pPr>
      <w:r>
        <w:t>38. Chapter 16 expansion — Security, IAM &amp; Governance Workstream</w:t>
      </w:r>
    </w:p>
    <w:p>
      <w:r>
        <w:t>Sequence NCIE-008/009 governance, IAM, Zero Trust, secrets, network, privileged access and audit prerequisites as enabling dependencies.</w:t>
      </w:r>
    </w:p>
    <w:p>
      <w:pPr>
        <w:pStyle w:val="Heading2"/>
      </w:pPr>
      <w:r>
        <w:t>39. Chapter 17 expansion — Data, Database &amp; Storage Workstream</w:t>
      </w:r>
    </w:p>
    <w:p>
      <w:r>
        <w:t>Sequence NCIE-003/014 canonical data, physical persistence, indexes, migration, backup/DR and reconciliation while preserving unresolved HR14 decisions.</w:t>
      </w:r>
    </w:p>
    <w:p>
      <w:pPr>
        <w:pStyle w:val="Heading2"/>
      </w:pPr>
      <w:r>
        <w:t>40. Chapter 18 expansion — API, Integration &amp; Connector Workstream</w:t>
      </w:r>
    </w:p>
    <w:p>
      <w:r>
        <w:t>Sequence NCIE-011 API gateway, events, schemas, connectors and external integration with source discovery, security and contract dependencies.</w:t>
      </w:r>
    </w:p>
    <w:p>
      <w:pPr>
        <w:pStyle w:val="Heading2"/>
      </w:pPr>
      <w:r>
        <w:t>41. Chapter 19 expansion — ARGUS, Memory, Agent &amp; AI Workstream</w:t>
      </w:r>
    </w:p>
    <w:p>
      <w:r>
        <w:t>Sequence NCIE-005/006/007 ARGUS, Memory/Context, Agent Factory/runtime, Model Gateway, Tool Gateway and VPF with Gate A/B, sandbox and Human-Primary prerequisites.</w:t>
      </w:r>
    </w:p>
    <w:p>
      <w:pPr>
        <w:pStyle w:val="Heading2"/>
      </w:pPr>
      <w:r>
        <w:t>42. Chapter 20 expansion — Evidence, Provenance &amp; Audit Workstream</w:t>
      </w:r>
    </w:p>
    <w:p>
      <w:r>
        <w:t>Sequence NCIE-010 Evidence, custody, provenance, audit and Decision-Time capabilities before dependent defensibility claims.</w:t>
      </w:r>
    </w:p>
    <w:p>
      <w:pPr>
        <w:pStyle w:val="Heading2"/>
      </w:pPr>
      <w:r>
        <w:t>43. Chapter 21 expansion — Functional Modules Workstream</w:t>
      </w:r>
    </w:p>
    <w:p>
      <w:r>
        <w:t>Sequence NCIE-013 Functional Modules without inventing unresolved rules, KPI thresholds, fraud typologies, REWS indicators or domain approvals.</w:t>
      </w:r>
    </w:p>
    <w:p>
      <w:pPr>
        <w:pStyle w:val="Heading2"/>
      </w:pPr>
      <w:r>
        <w:t>44. Chapter 22 expansion — UX/UI &amp; Design System Workstream</w:t>
      </w:r>
    </w:p>
    <w:p>
      <w:r>
        <w:t>Sequence NCIE-012 Design System, workspace, ARGUS UX, governance/security/Evidence states and accessibility against authoritative upstream states/contracts.</w:t>
      </w:r>
    </w:p>
    <w:p>
      <w:pPr>
        <w:pStyle w:val="Heading2"/>
      </w:pPr>
      <w:r>
        <w:t>45. Chapter 23 expansion — DevSecOps, Infrastructure &amp; Deployment Workstream</w:t>
      </w:r>
    </w:p>
    <w:p>
      <w:r>
        <w:t>Sequence NCIE-015 CI/CD, environments, IaC, runtime, observability, incident/runbooks, deployment and continuity prerequisites.</w:t>
      </w:r>
    </w:p>
    <w:p>
      <w:pPr>
        <w:pStyle w:val="Heading2"/>
      </w:pPr>
      <w:r>
        <w:t>46. Chapter 24 expansion — Testing, Verification &amp; Acceptance Workstream</w:t>
      </w:r>
    </w:p>
    <w:p>
      <w:r>
        <w:t>Integrate NCIE-016 RTM/test cases/environments/evidence/defects/acceptance/regression into build sequence; BUILD COMPLETE ≠ TEST PASSED.</w:t>
      </w:r>
    </w:p>
    <w:p>
      <w:pPr>
        <w:pStyle w:val="Heading2"/>
      </w:pPr>
      <w:r>
        <w:t>47. Chapter 25 expansion — Environment &amp; Configuration Sequencing</w:t>
      </w:r>
    </w:p>
    <w:p>
      <w:r>
        <w:t>Define dev/test/stage/prod environment and configuration sequencing, data classes, secrets boundaries and promotion dependencies without inventing topology.</w:t>
      </w:r>
    </w:p>
    <w:p>
      <w:pPr>
        <w:pStyle w:val="Heading2"/>
      </w:pPr>
      <w:r>
        <w:t>48. Chapter 26 expansion — Data Migration &amp; Initial-Load Sequencing</w:t>
      </w:r>
    </w:p>
    <w:p>
      <w:r>
        <w:t>Define source inventory, mapping, transformation, backfill, reconciliation, exception and cutover sequencing; MIGRATION SUCCESS ≠ RECONCILIATION COMPLETE.</w:t>
      </w:r>
    </w:p>
    <w:p>
      <w:pPr>
        <w:pStyle w:val="Heading2"/>
      </w:pPr>
      <w:r>
        <w:t>49. Chapter 27 expansion — External Systems / Provider Integration Sequencing</w:t>
      </w:r>
    </w:p>
    <w:p>
      <w:r>
        <w:t>Define external/provider discovery, contracts, security onboarding, credentials interface, adapters, certification, fallback and evidence-based readiness.</w:t>
      </w:r>
    </w:p>
    <w:p>
      <w:pPr>
        <w:pStyle w:val="Heading2"/>
      </w:pPr>
      <w:r>
        <w:t>50. Chapter 28 expansion — Operational Readiness &amp; Runbook Sequencing</w:t>
      </w:r>
    </w:p>
    <w:p>
      <w:r>
        <w:t>Define operational ownership, runbooks, monitoring, alerting, backup/DR, support and escalation as go-live dependencies, not afterthoughts.</w:t>
      </w:r>
    </w:p>
    <w:p>
      <w:pPr>
        <w:pStyle w:val="Heading2"/>
      </w:pPr>
      <w:r>
        <w:t>51. Chapter 29 expansion — Release, Cutover &amp; Go-Live Dependency Plan</w:t>
      </w:r>
    </w:p>
    <w:p>
      <w:r>
        <w:t>Define release candidate, required gates, migration, deployment, smoke verification, acceptance and rollback dependencies; DEPLOYED ≠ APPROVED.</w:t>
      </w:r>
    </w:p>
    <w:p>
      <w:pPr>
        <w:pStyle w:val="Heading2"/>
      </w:pPr>
      <w:r>
        <w:t>52. Chapter 30 expansion — Rollback, Recovery &amp; Contingency Planning</w:t>
      </w:r>
    </w:p>
    <w:p>
      <w:r>
        <w:t>Define rollback triggers, recovery paths, data/state reconciliation, communications and evidence requirements; planning ≠ recovery proof.</w:t>
      </w:r>
    </w:p>
    <w:p>
      <w:pPr>
        <w:pStyle w:val="Heading2"/>
      </w:pPr>
      <w:r>
        <w:t>53. Chapter 31 expansion — Resource, Skill &amp; Ownership Planning</w:t>
      </w:r>
    </w:p>
    <w:p>
      <w:r>
        <w:t>Define required role/skill/capability categories, responsibility and capacity assumptions without naming people or fabricating availability/budgets.</w:t>
      </w:r>
    </w:p>
    <w:p>
      <w:pPr>
        <w:pStyle w:val="Heading2"/>
      </w:pPr>
      <w:r>
        <w:t>54. Chapter 32 expansion — Estimate, Duration &amp; Schedule Governance</w:t>
      </w:r>
    </w:p>
    <w:p>
      <w:r>
        <w:t>Define estimate basis, range/confidence, assumptions, dependencies and calendar authority. If no authoritative dates/durations exist, leave them explicitly TBD/Human Review.</w:t>
      </w:r>
    </w:p>
    <w:p>
      <w:pPr>
        <w:pStyle w:val="Heading2"/>
      </w:pPr>
      <w:r>
        <w:t>55. Chapter 33 expansion — Procurement / External Dependency Tracking</w:t>
      </w:r>
    </w:p>
    <w:p>
      <w:r>
        <w:t>Define procurement/provider/external prerequisite tracking with evidence, dependency, fallback and blocker state; do not invent lead times/contracts.</w:t>
      </w:r>
    </w:p>
    <w:p>
      <w:pPr>
        <w:pStyle w:val="Heading2"/>
      </w:pPr>
      <w:r>
        <w:t>56. Chapter 34 expansion — Risk, Assumption, Issue &amp; Dependency (RAID) Register</w:t>
      </w:r>
    </w:p>
    <w:p>
      <w:r>
        <w:t>Define RAID register for risk, assumption, issue and dependency with owner-authority, mitigation, evidence, status and escalation; recorded/accepted states remain distinct.</w:t>
      </w:r>
    </w:p>
    <w:p>
      <w:pPr>
        <w:pStyle w:val="Heading2"/>
      </w:pPr>
      <w:r>
        <w:t>57. Chapter 35 expansion — Change Control &amp; Roadmap Re-Baselining</w:t>
      </w:r>
    </w:p>
    <w:p>
      <w:r>
        <w:t>Define change trigger, impact assessment, approval, new baseline, traceability and history; sequence change cannot silently change architecture.</w:t>
      </w:r>
    </w:p>
    <w:p>
      <w:pPr>
        <w:pStyle w:val="Heading2"/>
      </w:pPr>
      <w:r>
        <w:t>58. Chapter 36 expansion — Implementation Evidence &amp; Progress Reporting</w:t>
      </w:r>
    </w:p>
    <w:p>
      <w:r>
        <w:t>Define evidence-backed implementation status/reporting: not started/in progress/blocked/completed concept, artifacts, test state and acceptance state; never fabricate percentages.</w:t>
      </w:r>
    </w:p>
    <w:p>
      <w:pPr>
        <w:pStyle w:val="Heading2"/>
      </w:pPr>
      <w:r>
        <w:t>59. Chapter 37 expansion — Definition of Ready / Definition of Done</w:t>
      </w:r>
    </w:p>
    <w:p>
      <w:r>
        <w:t>Define Definition of Ready/Done for work packages, explicit exclusions and blockers; Done is not institutional acceptance.</w:t>
      </w:r>
    </w:p>
    <w:p>
      <w:pPr>
        <w:pStyle w:val="Heading2"/>
      </w:pPr>
      <w:r>
        <w:t>60. Chapter 38 expansion — Acceptance-Gate &amp; Sign-Off Integration</w:t>
      </w:r>
    </w:p>
    <w:p>
      <w:r>
        <w:t>Define acceptance-gate integration with NCIE-016 evidence, defects, HR blockers, approver authority, conditions and target/scope/version binding.</w:t>
      </w:r>
    </w:p>
    <w:p>
      <w:pPr>
        <w:pStyle w:val="Heading2"/>
      </w:pPr>
      <w:r>
        <w:t>61. Chapter 39 expansion — Human Review Register &amp; Open Roadmap Decisions</w:t>
      </w:r>
    </w:p>
    <w:p>
      <w:r>
        <w:t>Build complete HR17 register from unresolved Chapters 1–38 and 40; deduplicate identical HR1–HR16 questions and create HR17 only for distinct roadmap decisions.</w:t>
      </w:r>
    </w:p>
    <w:p>
      <w:pPr>
        <w:pStyle w:val="Heading2"/>
      </w:pPr>
      <w:r>
        <w:t>62. Chapter 40 expansion — Traceability, Acceptance &amp; Final Implementation Handover</w:t>
      </w:r>
    </w:p>
    <w:p>
      <w:r>
        <w:t>Build traceability to NCIE-001–016, skeleton fidelity, roadmap acceptance criteria, HR gate and controlled handover to implementation execution/change governance.</w:t>
      </w:r>
    </w:p>
    <w:p>
      <w:pPr>
        <w:pStyle w:val="Heading2"/>
      </w:pPr>
      <w:r>
        <w:t>63. Master WBS requirement</w:t>
      </w:r>
    </w:p>
    <w:p>
      <w:r>
        <w:t>Produce a consolidated hierarchical WBS covering all approved NCIE-001–016 implementation domains. Every work package must have stable ID, source authority, objective, inputs, outputs, dependencies, HR blockers, evidence, Ready/Done criteria and verification linkage.</w:t>
      </w:r>
    </w:p>
    <w:p>
      <w:pPr>
        <w:pStyle w:val="Heading2"/>
      </w:pPr>
      <w:r>
        <w:t>64. Dependency register</w:t>
      </w:r>
    </w:p>
    <w:p>
      <w:r>
        <w:t>Produce a cross-workstream dependency register with predecessor/successor, dependency type, evidence, blocker state, HR source, external dependency and escalation.</w:t>
      </w:r>
    </w:p>
    <w:p>
      <w:pPr>
        <w:pStyle w:val="Heading2"/>
      </w:pPr>
      <w:r>
        <w:t>65. Roadmap sequence matrix</w:t>
      </w:r>
    </w:p>
    <w:p>
      <w:r>
        <w:t>Produce a logical sequence matrix for foundation, security, data/storage, integration, AI/ARGUS, Evidence/audit, Functional Modules, UX, DevSecOps and verification. Do not assign calendar dates unless source-authorized.</w:t>
      </w:r>
    </w:p>
    <w:p>
      <w:pPr>
        <w:pStyle w:val="Heading2"/>
      </w:pPr>
      <w:r>
        <w:t>66. Stage-gate matrix</w:t>
      </w:r>
    </w:p>
    <w:p>
      <w:r>
        <w:t>Map each implementation stage to entry evidence, exit evidence, Blocking HR items, NCIE-016 tests, defects/residual gaps, approval authority and allowed next state.</w:t>
      </w:r>
    </w:p>
    <w:p>
      <w:pPr>
        <w:pStyle w:val="Heading2"/>
      </w:pPr>
      <w:r>
        <w:t>67. Architecture-to-implementation handover matrix</w:t>
      </w:r>
    </w:p>
    <w:p>
      <w:r>
        <w:t>Map each NCIE document to implementation work packages, required artifacts, unresolved HR dependencies, test handover and downstream operational ownership.</w:t>
      </w:r>
    </w:p>
    <w:p>
      <w:pPr>
        <w:pStyle w:val="Heading2"/>
      </w:pPr>
      <w:r>
        <w:t>68. HR1–HR16 dependency matrix</w:t>
      </w:r>
    </w:p>
    <w:p>
      <w:r>
        <w:t>Consolidate upstream Human Review items relevant to implementation sequencing without renumbering or falsely resolving them; distinguish referenced upstream HR from new HR17.</w:t>
      </w:r>
    </w:p>
    <w:p>
      <w:pPr>
        <w:pStyle w:val="Heading2"/>
      </w:pPr>
      <w:r>
        <w:t>69. Resource/skill matrix</w:t>
      </w:r>
    </w:p>
    <w:p>
      <w:r>
        <w:t>Map workstreams to required role/skill categories and capacity assumptions without named individuals, salaries, headcounts or availability unless explicitly sourced.</w:t>
      </w:r>
    </w:p>
    <w:p>
      <w:pPr>
        <w:pStyle w:val="Heading2"/>
      </w:pPr>
      <w:r>
        <w:t>70. RAID register</w:t>
      </w:r>
    </w:p>
    <w:p>
      <w:r>
        <w:t>Create an implementation RAID register with evidence-based status and explicit separation among identified, mitigated, accepted, resolved and closed states.</w:t>
      </w:r>
    </w:p>
    <w:p>
      <w:pPr>
        <w:pStyle w:val="Heading2"/>
      </w:pPr>
      <w:r>
        <w:t>71. Implementation-status model</w:t>
      </w:r>
    </w:p>
    <w:p>
      <w:r>
        <w:t>Define NOT STARTED, READY, BLOCKED, IN PROGRESS, IMPLEMENTED/WORK COMPLETE, TEST PENDING, TESTED, ACCEPTANCE PENDING and ACCEPTED concepts without implying actual current status.</w:t>
      </w:r>
    </w:p>
    <w:p>
      <w:pPr>
        <w:pStyle w:val="Heading2"/>
      </w:pPr>
      <w:r>
        <w:t>72. Human Review reconciliation</w:t>
      </w:r>
    </w:p>
    <w:p>
      <w:r>
        <w:t>Programmatically extract every HR17 ID and reconcile Chapter 39: zero duplicate IDs, zero orphan current items, explained classifications and precise Blocking/Non-Blocking scopes.</w:t>
      </w:r>
    </w:p>
    <w:p>
      <w:pPr>
        <w:pStyle w:val="Heading2"/>
      </w:pPr>
      <w:r>
        <w:t>73. Upstream Human Review deduplication</w:t>
      </w:r>
    </w:p>
    <w:p>
      <w:r>
        <w:t>Reference HR1–HR16 where the decision already exists. Do not clone unresolved upstream questions into HR17 merely to populate the register.</w:t>
      </w:r>
    </w:p>
    <w:p>
      <w:pPr>
        <w:pStyle w:val="Heading2"/>
      </w:pPr>
      <w:r>
        <w:t>74. Schedule-fabrication audit</w:t>
      </w:r>
    </w:p>
    <w:p>
      <w:r>
        <w:t>Search for unsourced dates, durations, delivery windows, milestones with calendar commitments, resource availability or procurement lead times; remove or mark TBD/Human Review.</w:t>
      </w:r>
    </w:p>
    <w:p>
      <w:pPr>
        <w:pStyle w:val="Heading2"/>
      </w:pPr>
      <w:r>
        <w:t>75. Progress-fabrication audit</w:t>
      </w:r>
    </w:p>
    <w:p>
      <w:r>
        <w:t>Search for claims/percentages that work started/completed, blockers cleared, tests passed, releases authorized or go-live readiness achieved without evidence; correct them.</w:t>
      </w:r>
    </w:p>
    <w:p>
      <w:pPr>
        <w:pStyle w:val="Heading2"/>
      </w:pPr>
      <w:r>
        <w:t>76. Architecture-drift audit</w:t>
      </w:r>
    </w:p>
    <w:p>
      <w:r>
        <w:t>Verify work sequencing/backlog/WBS does not alter NCIE-001–016 semantics, ownership, security, Evidence, domain rules or acceptance architecture.</w:t>
      </w:r>
    </w:p>
    <w:p>
      <w:pPr>
        <w:pStyle w:val="Heading2"/>
      </w:pPr>
      <w:r>
        <w:t>77. Dependency-integrity audit</w:t>
      </w:r>
    </w:p>
    <w:p>
      <w:r>
        <w:t>Verify every Blocking HR item or unresolved prerequisite affecting a work package remains visible and cannot be bypassed by priority/parallelization.</w:t>
      </w:r>
    </w:p>
    <w:p>
      <w:pPr>
        <w:pStyle w:val="Heading2"/>
      </w:pPr>
      <w:r>
        <w:t>78. Acceptance-integrity audit</w:t>
      </w:r>
    </w:p>
    <w:p>
      <w:r>
        <w:t>Verify milestone, Definition of Done, build completion, deployment and test results are not conflated with Human/production acceptance.</w:t>
      </w:r>
    </w:p>
    <w:p>
      <w:pPr>
        <w:pStyle w:val="Heading2"/>
      </w:pPr>
      <w:r>
        <w:t>79. Credential-safety audit</w:t>
      </w:r>
    </w:p>
    <w:p>
      <w:r>
        <w:t>Verify no handover/work package contains live credentials, passwords, tokens, private keys or secrets.</w:t>
      </w:r>
    </w:p>
    <w:p>
      <w:pPr>
        <w:pStyle w:val="Heading2"/>
      </w:pPr>
      <w:r>
        <w:t>80. No fabricated platform audit</w:t>
      </w:r>
    </w:p>
    <w:p>
      <w:r>
        <w:t>Remove unsupported project-management/implementation/CI/CD/infrastructure/test platform selections or convert them to property-based requirements/Human Review.</w:t>
      </w:r>
    </w:p>
    <w:p>
      <w:pPr>
        <w:pStyle w:val="Heading2"/>
      </w:pPr>
      <w:r>
        <w:t>81. No implementation claims</w:t>
      </w:r>
    </w:p>
    <w:p>
      <w:r>
        <w:t>Do not claim the roadmap has been executed, resourced, funded, scheduled, tested or accepted merely because specified.</w:t>
      </w:r>
    </w:p>
    <w:p>
      <w:pPr>
        <w:pStyle w:val="Heading2"/>
      </w:pPr>
      <w:r>
        <w:t>82. Adversarial review</w:t>
      </w:r>
    </w:p>
    <w:p>
      <w:r>
        <w:t>Review from programme architecture, dependency/critical-path, engineering delivery, security/governance, data migration, AI/Agent, verification, operations and change-control perspectives; correct defects without exposing private chain-of-thought.</w:t>
      </w:r>
    </w:p>
    <w:p>
      <w:pPr>
        <w:pStyle w:val="Heading2"/>
      </w:pPr>
      <w:r>
        <w:t>83. Skeleton fidelity audit</w:t>
      </w:r>
    </w:p>
    <w:p>
      <w:r>
        <w:t>Verify all 40 approved Chapter Purposes, Salient Things to Note, Principal Components, dependencies and Human Review foci are represented and not inverted.</w:t>
      </w:r>
    </w:p>
    <w:p>
      <w:pPr>
        <w:pStyle w:val="Heading2"/>
      </w:pPr>
      <w:r>
        <w:t>84. 40-chapter integrity audit</w:t>
      </w:r>
    </w:p>
    <w:p>
      <w:r>
        <w:t>Programmatically verify exactly 40 sequential chapters, no missing/duplicate/added chapter and no unintended renaming.</w:t>
      </w:r>
    </w:p>
    <w:p>
      <w:pPr>
        <w:pStyle w:val="Heading2"/>
      </w:pPr>
      <w:r>
        <w:t>85. Salient Things to Note audit</w:t>
      </w:r>
    </w:p>
    <w:p>
      <w:r>
        <w:t>Programmatically verify an explicit Salient Things to Note subsection in all 40 chapters.</w:t>
      </w:r>
    </w:p>
    <w:p>
      <w:pPr>
        <w:pStyle w:val="Heading2"/>
      </w:pPr>
      <w:r>
        <w:t>86. Cross-reference audit</w:t>
      </w:r>
    </w:p>
    <w:p>
      <w:r>
        <w:t>Verify NCIE-001–016 versions, chapter references, HR17 IDs, upstream HR references, WBS IDs and verification/operations handovers.</w:t>
      </w:r>
    </w:p>
    <w:p>
      <w:pPr>
        <w:pStyle w:val="Heading2"/>
      </w:pPr>
      <w:r>
        <w:t>87. Invariant audit</w:t>
      </w:r>
    </w:p>
    <w:p>
      <w:r>
        <w:t>Verify every approved skeletal roadmap invariant is explicitly preserved and no operative chapter contradicts it.</w:t>
      </w:r>
    </w:p>
    <w:p>
      <w:pPr>
        <w:pStyle w:val="Heading2"/>
      </w:pPr>
      <w:r>
        <w:t>88. Visual/table audit</w:t>
      </w:r>
    </w:p>
    <w:p>
      <w:r>
        <w:t>Render every page and inspect WBS, dependency, sequence, stage-gate, handover, HR dependency, resource/skill, RAID, Human Review and traceability tables for clipping/overlap/readability.</w:t>
      </w:r>
    </w:p>
    <w:p>
      <w:pPr>
        <w:pStyle w:val="Heading2"/>
      </w:pPr>
      <w:r>
        <w:t>89. Document control</w:t>
      </w:r>
    </w:p>
    <w:p>
      <w:r>
        <w:t>Produce NCIE-017 v1.0 IN DEVELOPMENT / FOR HUMAN REVIEW; preserve Skeletal v0.1 as approved expansion architecture and record formal-title reconciliation if applicable.</w:t>
      </w:r>
    </w:p>
    <w:p>
      <w:pPr>
        <w:pStyle w:val="Heading2"/>
      </w:pPr>
      <w:r>
        <w:t>90. Deliverable A</w:t>
      </w:r>
    </w:p>
    <w:p>
      <w:r>
        <w:t>Produce NCIE-017_Implementation_Roadmap_Work_Breakdown_Specification_v1_0_IN_DEVELOPMENT.docx, using authoritative formal title wording if a controlled register requires clerical correction.</w:t>
      </w:r>
    </w:p>
    <w:p>
      <w:pPr>
        <w:pStyle w:val="Heading2"/>
      </w:pPr>
      <w:r>
        <w:t>91. Deliverable B</w:t>
      </w:r>
    </w:p>
    <w:p>
      <w:r>
        <w:t>Produce NCIE-017_v1_0_Full_Expansion_Change_Register.docx mapping every skeletal chapter/component/salient note to expanded location, authority basis, HR effect and status.</w:t>
      </w:r>
    </w:p>
    <w:p>
      <w:pPr>
        <w:pStyle w:val="Heading2"/>
      </w:pPr>
      <w:r>
        <w:t>92. Deliverable C</w:t>
      </w:r>
    </w:p>
    <w:p>
      <w:r>
        <w:t>Produce NCIE-017_v0_1_to_v1_0_Expansion_Verification_Report.docx covering title control, skeleton fidelity, 40-chapter integrity, salient-note coverage, invariants, WBS/dependencies, HR, status integrity, traceability, document control and visual QA.</w:t>
      </w:r>
    </w:p>
    <w:p>
      <w:pPr>
        <w:pStyle w:val="Heading2"/>
      </w:pPr>
      <w:r>
        <w:t>93. Three-artifact consistency</w:t>
      </w:r>
    </w:p>
    <w:p>
      <w:r>
        <w:t>All three artifacts must agree on formal title, version/status, 40 chapters, authority chain, HR totals/classifications/blockers, roadmap status, no-execution posture and handover.</w:t>
      </w:r>
    </w:p>
    <w:p>
      <w:pPr>
        <w:pStyle w:val="Heading2"/>
      </w:pPr>
      <w:r>
        <w:t>94. Chat response</w:t>
      </w:r>
    </w:p>
    <w:p>
      <w:r>
        <w:t>Do not paste the full specification. Return concise production summary, formal title, HR17 totals/classifications, blockers, unscheduled/TBD planning decisions, WBS/integrity results and links to three deliverables.</w:t>
      </w:r>
    </w:p>
    <w:p>
      <w:pPr>
        <w:pStyle w:val="Heading2"/>
      </w:pPr>
      <w:r>
        <w:t>95. Directive integrity gate</w:t>
      </w:r>
    </w:p>
    <w:p>
      <w:r>
        <w:t>Before production mechanically verify expected numbered items = actual items; missing = none; duplicates = none; truncated = none; approved chapter coverage = 40/40.</w:t>
      </w:r>
    </w:p>
    <w:p>
      <w:pPr>
        <w:pStyle w:val="Heading2"/>
      </w:pPr>
      <w:r>
        <w:t>96. Final execution instruction</w:t>
      </w:r>
    </w:p>
    <w:p>
      <w:r>
        <w:t>Proceed only after directive integrity verification. Use the Human-approved NCIE-017 Skeletal v0.1 plus approved NCIE-001–016 as sole substantive basis; preserve unresolved planning choices for Human Review and do not execute implementation.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96</w:t>
        <w:br/>
        <w:t>ACTUAL NUMBERED ITEMS = 96</w:t>
        <w:br/>
        <w:t>MISSING NUMBERS = NONE</w:t>
        <w:br/>
        <w:t>DUPLICATE NUMBERS = NONE</w:t>
        <w:br/>
        <w:t>TRUNCATED ITEMS = NONE</w:t>
        <w:br/>
        <w:t>APPROVED CHAPTER COVERAGE = 40/40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IMPLEMENTATION-ROADMAP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NCIE-017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