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NCIE-018</w:t>
        <w:br/>
        <w:t>Operational Handover, Organizational Readiness &amp; Governance Specification</w:t>
      </w:r>
    </w:p>
    <w:p>
      <w:pPr>
        <w:jc w:val="center"/>
      </w:pPr>
      <w:r>
        <w:rPr>
          <w:b/>
          <w:sz w:val="30"/>
        </w:rPr>
        <w:t>Skeletal Version v0.1 — FOR REVIEW</w:t>
      </w:r>
    </w:p>
    <w:p>
      <w:pPr>
        <w:jc w:val="center"/>
      </w:pPr>
      <w:r>
        <w:t>CHAPTER PURPOSE • SALIENT THINGS TO NOTE • PRINCIPAL COMPONENTS • UPSTREAM DEPENDENCIES / AUTHORITY • HUMAN REVIEW FOCUS</w:t>
      </w:r>
    </w:p>
    <w:p>
      <w:r>
        <w:br w:type="page"/>
      </w:r>
    </w:p>
    <w:p>
      <w:pPr>
        <w:pStyle w:val="Heading1"/>
      </w:pPr>
      <w:r>
        <w:t>Document Governance</w:t>
      </w:r>
    </w:p>
    <w:tbl>
      <w:tblPr>
        <w:tblStyle w:val="TableGrid"/>
        <w:tblW w:type="auto" w:w="0"/>
        <w:tblLook w:firstColumn="1" w:firstRow="1" w:lastColumn="0" w:lastRow="0" w:noHBand="0" w:noVBand="1" w:val="04A0"/>
      </w:tblPr>
      <w:tblGrid>
        <w:gridCol w:w="5040"/>
        <w:gridCol w:w="5040"/>
      </w:tblGrid>
      <w:tr>
        <w:tc>
          <w:tcPr>
            <w:tcW w:type="dxa" w:w="5040"/>
          </w:tcPr>
          <w:p>
            <w:r>
              <w:t>Status</w:t>
            </w:r>
          </w:p>
        </w:tc>
        <w:tc>
          <w:tcPr>
            <w:tcW w:type="dxa" w:w="5040"/>
          </w:tcPr>
          <w:p>
            <w:r>
              <w:t>FOR REVIEW — NOT APPROVED FOR FULL EXPANSION</w:t>
            </w:r>
          </w:p>
        </w:tc>
      </w:tr>
      <w:tr>
        <w:tc>
          <w:tcPr>
            <w:tcW w:type="dxa" w:w="5040"/>
          </w:tcPr>
          <w:p>
            <w:r>
              <w:t>Edition</w:t>
            </w:r>
          </w:p>
        </w:tc>
        <w:tc>
          <w:tcPr>
            <w:tcW w:type="dxa" w:w="5040"/>
          </w:tcPr>
          <w:p>
            <w:r>
              <w:t>Skeletal v0.1</w:t>
            </w:r>
          </w:p>
        </w:tc>
      </w:tr>
      <w:tr>
        <w:tc>
          <w:tcPr>
            <w:tcW w:type="dxa" w:w="5040"/>
          </w:tcPr>
          <w:p>
            <w:r>
              <w:t>Source-confirmed mandate</w:t>
            </w:r>
          </w:p>
        </w:tc>
        <w:tc>
          <w:tcPr>
            <w:tcW w:type="dxa" w:w="5040"/>
          </w:tcPr>
          <w:p>
            <w:r>
              <w:t>NCIE-002 explicitly places organizational/staffing decisions in NCIE-018 handover governance rather than technical architecture. NCIE-002 Chapter 32 also establishes operations/administration/documentation/Codex handover, runbook ownership and operational-owner confirmation as the terminal handover context.</w:t>
            </w:r>
          </w:p>
        </w:tc>
      </w:tr>
      <w:tr>
        <w:tc>
          <w:tcPr>
            <w:tcW w:type="dxa" w:w="5040"/>
          </w:tcPr>
          <w:p>
            <w:r>
              <w:t>Working title</w:t>
            </w:r>
          </w:p>
        </w:tc>
        <w:tc>
          <w:tcPr>
            <w:tcW w:type="dxa" w:w="5040"/>
          </w:tcPr>
          <w:p>
            <w:r>
              <w:t>NCIE-018 — Operational Handover, Organizational Readiness &amp; Governance Specification. The supplied NCIE-001–017 chain confirms the NCIE-018 handover-governance and organizational/staffing mandate, but no controlled suite register was supplied in this turn. Exact formal title must therefore be reconciled before full expansion.</w:t>
            </w:r>
          </w:p>
        </w:tc>
      </w:tr>
      <w:tr>
        <w:tc>
          <w:tcPr>
            <w:tcW w:type="dxa" w:w="5040"/>
          </w:tcPr>
          <w:p>
            <w:r>
              <w:t>Approved foundation</w:t>
            </w:r>
          </w:p>
        </w:tc>
        <w:tc>
          <w:tcPr>
            <w:tcW w:type="dxa" w:w="5040"/>
          </w:tcPr>
          <w:p>
            <w:r>
              <w:t>NCIE-001 v1.3 through NCIE-017 v1.0, with NCIE-017 approval supplied by Human in this control sequence.</w:t>
            </w:r>
          </w:p>
        </w:tc>
      </w:tr>
      <w:tr>
        <w:tc>
          <w:tcPr>
            <w:tcW w:type="dxa" w:w="5040"/>
          </w:tcPr>
          <w:p>
            <w:r>
              <w:t>Primary boundary</w:t>
            </w:r>
          </w:p>
        </w:tc>
        <w:tc>
          <w:tcPr>
            <w:tcW w:type="dxa" w:w="5040"/>
          </w:tcPr>
          <w:p>
            <w:r>
              <w:t>NCIE-018 governs organizational readiness, accountable operational ownership, staffing/capability requirements, handover governance and transition into sustainable institutional operation. It does not redesign technical architecture, assign named individuals without Human authority, create employment decisions, resolve upstream HR items, or declare production acceptance.</w:t>
            </w:r>
          </w:p>
        </w:tc>
      </w:tr>
      <w:tr>
        <w:tc>
          <w:tcPr>
            <w:tcW w:type="dxa" w:w="5040"/>
          </w:tcPr>
          <w:p>
            <w:r>
              <w:t>Expansion control</w:t>
            </w:r>
          </w:p>
        </w:tc>
        <w:tc>
          <w:tcPr>
            <w:tcW w:type="dxa" w:w="5040"/>
          </w:tcPr>
          <w:p>
            <w:r>
              <w:t>Full expansion requires explicit Human approval of this skeletal architecture.</w:t>
            </w:r>
          </w:p>
        </w:tc>
      </w:tr>
    </w:tbl>
    <w:p>
      <w:pPr>
        <w:pStyle w:val="Heading1"/>
      </w:pPr>
      <w:r>
        <w:t>Proposed Handover / Organizational-Readiness Invariants</w:t>
      </w:r>
    </w:p>
    <w:p>
      <w:pPr>
        <w:pStyle w:val="ListBullet"/>
      </w:pPr>
      <w:r>
        <w:t>HANDOVER ≠ ACCEPTANCE.</w:t>
      </w:r>
    </w:p>
    <w:p>
      <w:pPr>
        <w:pStyle w:val="ListBullet"/>
      </w:pPr>
      <w:r>
        <w:t>DOCUMENTATION COMPLETE ≠ OPERATIONAL READINESS.</w:t>
      </w:r>
    </w:p>
    <w:p>
      <w:pPr>
        <w:pStyle w:val="ListBullet"/>
      </w:pPr>
      <w:r>
        <w:t>ROLE DEFINED ≠ PERSON APPOINTED.</w:t>
      </w:r>
    </w:p>
    <w:p>
      <w:pPr>
        <w:pStyle w:val="ListBullet"/>
      </w:pPr>
      <w:r>
        <w:t>RESPONSIBILITY ASSIGNED TO ROLE ≠ EMPLOYMENT DECISION.</w:t>
      </w:r>
    </w:p>
    <w:p>
      <w:pPr>
        <w:pStyle w:val="ListBullet"/>
      </w:pPr>
      <w:r>
        <w:t>STAFFING REQUIREMENT ≠ AUTHORIZED HEADCOUNT.</w:t>
      </w:r>
    </w:p>
    <w:p>
      <w:pPr>
        <w:pStyle w:val="ListBullet"/>
      </w:pPr>
      <w:r>
        <w:t>SKILL REQUIREMENT ≠ PERSONNEL COMPETENCE CONFIRMED.</w:t>
      </w:r>
    </w:p>
    <w:p>
      <w:pPr>
        <w:pStyle w:val="ListBullet"/>
      </w:pPr>
      <w:r>
        <w:t>TRAINING COMPLETED ≠ OPERATIONAL AUTHORIZATION.</w:t>
      </w:r>
    </w:p>
    <w:p>
      <w:pPr>
        <w:pStyle w:val="ListBullet"/>
      </w:pPr>
      <w:r>
        <w:t>RUNBOOK ASSIGNED ≠ RUNBOOK VALIDATED.</w:t>
      </w:r>
    </w:p>
    <w:p>
      <w:pPr>
        <w:pStyle w:val="ListBullet"/>
      </w:pPr>
      <w:r>
        <w:t>ON-CALL ROSTER DEFINED ≠ PERSON AVAILABLE.</w:t>
      </w:r>
    </w:p>
    <w:p>
      <w:pPr>
        <w:pStyle w:val="ListBullet"/>
      </w:pPr>
      <w:r>
        <w:t>ACCESS REQUESTED ≠ ACCESS AUTHORIZED.</w:t>
      </w:r>
    </w:p>
    <w:p>
      <w:pPr>
        <w:pStyle w:val="ListBullet"/>
      </w:pPr>
      <w:r>
        <w:t>PRIVILEGED ROLE ≠ CONTENT AUTHORITY.</w:t>
      </w:r>
    </w:p>
    <w:p>
      <w:pPr>
        <w:pStyle w:val="ListBullet"/>
      </w:pPr>
      <w:r>
        <w:t>KNOWLEDGE TRANSFER ≠ CREDENTIAL TRANSFER.</w:t>
      </w:r>
    </w:p>
    <w:p>
      <w:pPr>
        <w:pStyle w:val="ListBullet"/>
      </w:pPr>
      <w:r>
        <w:t>HANDOVER PACKAGE ≠ SECRET TRANSFER.</w:t>
      </w:r>
    </w:p>
    <w:p>
      <w:pPr>
        <w:pStyle w:val="ListBullet"/>
      </w:pPr>
      <w:r>
        <w:t>OPERATIONAL OWNER ≠ INSTITUTIONAL DECISION AUTHORITY.</w:t>
      </w:r>
    </w:p>
    <w:p>
      <w:pPr>
        <w:pStyle w:val="ListBullet"/>
      </w:pPr>
      <w:r>
        <w:t>SUPPORT OWNERSHIP ≠ SYSTEM-OF-RECORD OWNERSHIP.</w:t>
      </w:r>
    </w:p>
    <w:p>
      <w:pPr>
        <w:pStyle w:val="ListBullet"/>
      </w:pPr>
      <w:r>
        <w:t>READINESS CHECKLIST COMPLETE ≠ PRODUCTION ACCEPTANCE.</w:t>
      </w:r>
    </w:p>
    <w:p>
      <w:pPr>
        <w:pStyle w:val="ListBullet"/>
      </w:pPr>
      <w:r>
        <w:t>GO-LIVE RECOMMENDATION ≠ GO-LIVE AUTHORIZATION.</w:t>
      </w:r>
    </w:p>
    <w:p>
      <w:pPr>
        <w:pStyle w:val="ListBullet"/>
      </w:pPr>
      <w:r>
        <w:t>RESIDUAL RISK RECORDED ≠ RISK ACCEPTED.</w:t>
      </w:r>
    </w:p>
    <w:p>
      <w:pPr>
        <w:pStyle w:val="ListBullet"/>
      </w:pPr>
      <w:r>
        <w:t>ISSUE TRANSFERRED ≠ ISSUE RESOLVED.</w:t>
      </w:r>
    </w:p>
    <w:p>
      <w:pPr>
        <w:pStyle w:val="ListBullet"/>
      </w:pPr>
      <w:r>
        <w:t>POST-HANDOVER OPERATION ≠ ARCHITECTURE CHANGE AUTHORITY.</w:t>
      </w:r>
    </w:p>
    <w:p>
      <w:pPr>
        <w:pStyle w:val="Heading1"/>
      </w:pPr>
      <w:r>
        <w:t>Proposed Skeletal Chapter Structure</w:t>
      </w:r>
    </w:p>
    <w:p>
      <w:pPr>
        <w:pStyle w:val="Heading2"/>
      </w:pPr>
      <w:r>
        <w:t>Chapter 1 — Mandate, Authority Chain &amp; Handover-Governance Boundary</w:t>
      </w:r>
    </w:p>
    <w:p>
      <w:r>
        <w:t>Chapter Purpose. Establish NCIE-018 ownership of organizational readiness and handover governance.</w:t>
      </w:r>
    </w:p>
    <w:p>
      <w:pPr>
        <w:pStyle w:val="Heading3"/>
      </w:pPr>
      <w:r>
        <w:t>Salient Things to Note</w:t>
      </w:r>
    </w:p>
    <w:p>
      <w:pPr>
        <w:pStyle w:val="ListBullet"/>
      </w:pPr>
      <w:r>
        <w:t>NCIE-018 governs handover/organizational readiness; it cannot redesign NCIE-001–017.</w:t>
      </w:r>
    </w:p>
    <w:p>
      <w:pPr>
        <w:pStyle w:val="Heading3"/>
      </w:pPr>
      <w:r>
        <w:t>Principal Components</w:t>
      </w:r>
    </w:p>
    <w:p>
      <w:pPr>
        <w:pStyle w:val="ListBullet"/>
      </w:pPr>
      <w:r>
        <w:t>Scope</w:t>
      </w:r>
    </w:p>
    <w:p>
      <w:pPr>
        <w:pStyle w:val="ListBullet"/>
      </w:pPr>
      <w:r>
        <w:t>authority chain</w:t>
      </w:r>
    </w:p>
    <w:p>
      <w:pPr>
        <w:pStyle w:val="ListBullet"/>
      </w:pPr>
      <w:r>
        <w:t>exclusions</w:t>
      </w:r>
    </w:p>
    <w:p>
      <w:pPr>
        <w:pStyle w:val="ListBullet"/>
      </w:pPr>
      <w:r>
        <w:t>handover outputs</w:t>
      </w:r>
    </w:p>
    <w:p>
      <w:pPr>
        <w:pStyle w:val="ListBullet"/>
      </w:pPr>
      <w:r>
        <w:t>final boundary</w:t>
      </w:r>
    </w:p>
    <w:p>
      <w:pPr>
        <w:pStyle w:val="Heading3"/>
      </w:pPr>
      <w:r>
        <w:t>Upstream Dependencies / Authority</w:t>
      </w:r>
    </w:p>
    <w:p>
      <w:pPr>
        <w:pStyle w:val="ListBullet"/>
      </w:pPr>
      <w:r>
        <w:t>NCIE-002 §1.2 and Ch.32; NCIE-001–017 approved chain</w:t>
      </w:r>
    </w:p>
    <w:p>
      <w:pPr>
        <w:pStyle w:val="Heading3"/>
      </w:pPr>
      <w:r>
        <w:t>Human Review Focus</w:t>
      </w:r>
    </w:p>
    <w:p>
      <w:pPr>
        <w:pStyle w:val="ListBullet"/>
      </w:pPr>
      <w:r>
        <w:t>Confirm exact formal title and NCIE-018 acceptance authority.</w:t>
      </w:r>
    </w:p>
    <w:p>
      <w:pPr>
        <w:pStyle w:val="Heading2"/>
      </w:pPr>
      <w:r>
        <w:t>Chapter 2 — Human-Primary Organizational Readiness Doctrine</w:t>
      </w:r>
    </w:p>
    <w:p>
      <w:r>
        <w:t>Chapter Purpose. Define Human-Primary principles for sustainable operational ownership.</w:t>
      </w:r>
    </w:p>
    <w:p>
      <w:pPr>
        <w:pStyle w:val="Heading3"/>
      </w:pPr>
      <w:r>
        <w:t>Salient Things to Note</w:t>
      </w:r>
    </w:p>
    <w:p>
      <w:pPr>
        <w:pStyle w:val="ListBullet"/>
      </w:pPr>
      <w:r>
        <w:t>HANDOVER ≠ ACCEPTANCE; organizational readiness remains Human-governed.</w:t>
      </w:r>
    </w:p>
    <w:p>
      <w:pPr>
        <w:pStyle w:val="Heading3"/>
      </w:pPr>
      <w:r>
        <w:t>Principal Components</w:t>
      </w:r>
    </w:p>
    <w:p>
      <w:pPr>
        <w:pStyle w:val="ListBullet"/>
      </w:pPr>
      <w:r>
        <w:t>Human-Primary ownership</w:t>
      </w:r>
    </w:p>
    <w:p>
      <w:pPr>
        <w:pStyle w:val="ListBullet"/>
      </w:pPr>
      <w:r>
        <w:t>accountability</w:t>
      </w:r>
    </w:p>
    <w:p>
      <w:pPr>
        <w:pStyle w:val="ListBullet"/>
      </w:pPr>
      <w:r>
        <w:t>sustainability</w:t>
      </w:r>
    </w:p>
    <w:p>
      <w:pPr>
        <w:pStyle w:val="ListBullet"/>
      </w:pPr>
      <w:r>
        <w:t>evidence</w:t>
      </w:r>
    </w:p>
    <w:p>
      <w:pPr>
        <w:pStyle w:val="ListBullet"/>
      </w:pPr>
      <w:r>
        <w:t>escalation</w:t>
      </w:r>
    </w:p>
    <w:p>
      <w:pPr>
        <w:pStyle w:val="Heading3"/>
      </w:pPr>
      <w:r>
        <w:t>Upstream Dependencies / Authority</w:t>
      </w:r>
    </w:p>
    <w:p>
      <w:pPr>
        <w:pStyle w:val="ListBullet"/>
      </w:pPr>
      <w:r>
        <w:t>NCIE-001–017</w:t>
      </w:r>
    </w:p>
    <w:p>
      <w:pPr>
        <w:pStyle w:val="Heading3"/>
      </w:pPr>
      <w:r>
        <w:t>Human Review Focus</w:t>
      </w:r>
    </w:p>
    <w:p>
      <w:pPr>
        <w:pStyle w:val="ListBullet"/>
      </w:pPr>
      <w:r>
        <w:t>Approve organizational-readiness doctrine and accountability model.</w:t>
      </w:r>
    </w:p>
    <w:p>
      <w:pPr>
        <w:pStyle w:val="Heading2"/>
      </w:pPr>
      <w:r>
        <w:t>Chapter 3 — Approved Baseline &amp; Handover Preconditions</w:t>
      </w:r>
    </w:p>
    <w:p>
      <w:r>
        <w:t>Chapter Purpose. Define approved inputs and prerequisites before handover may proceed.</w:t>
      </w:r>
    </w:p>
    <w:p>
      <w:pPr>
        <w:pStyle w:val="Heading3"/>
      </w:pPr>
      <w:r>
        <w:t>Salient Things to Note</w:t>
      </w:r>
    </w:p>
    <w:p>
      <w:pPr>
        <w:pStyle w:val="ListBullet"/>
      </w:pPr>
      <w:r>
        <w:t>Architecture/build/test artefacts are prerequisites, not proof that operations are ready.</w:t>
      </w:r>
    </w:p>
    <w:p>
      <w:pPr>
        <w:pStyle w:val="Heading3"/>
      </w:pPr>
      <w:r>
        <w:t>Principal Components</w:t>
      </w:r>
    </w:p>
    <w:p>
      <w:pPr>
        <w:pStyle w:val="ListBullet"/>
      </w:pPr>
      <w:r>
        <w:t>Approved docs</w:t>
      </w:r>
    </w:p>
    <w:p>
      <w:pPr>
        <w:pStyle w:val="ListBullet"/>
      </w:pPr>
      <w:r>
        <w:t>HR blockers</w:t>
      </w:r>
    </w:p>
    <w:p>
      <w:pPr>
        <w:pStyle w:val="ListBullet"/>
      </w:pPr>
      <w:r>
        <w:t>implementation status</w:t>
      </w:r>
    </w:p>
    <w:p>
      <w:pPr>
        <w:pStyle w:val="ListBullet"/>
      </w:pPr>
      <w:r>
        <w:t>verification status</w:t>
      </w:r>
    </w:p>
    <w:p>
      <w:pPr>
        <w:pStyle w:val="ListBullet"/>
      </w:pPr>
      <w:r>
        <w:t>runbooks</w:t>
      </w:r>
    </w:p>
    <w:p>
      <w:pPr>
        <w:pStyle w:val="ListBullet"/>
      </w:pPr>
      <w:r>
        <w:t>ownership prerequisites</w:t>
      </w:r>
    </w:p>
    <w:p>
      <w:pPr>
        <w:pStyle w:val="Heading3"/>
      </w:pPr>
      <w:r>
        <w:t>Upstream Dependencies / Authority</w:t>
      </w:r>
    </w:p>
    <w:p>
      <w:pPr>
        <w:pStyle w:val="ListBullet"/>
      </w:pPr>
      <w:r>
        <w:t>NCIE-001–017</w:t>
      </w:r>
    </w:p>
    <w:p>
      <w:pPr>
        <w:pStyle w:val="Heading3"/>
      </w:pPr>
      <w:r>
        <w:t>Human Review Focus</w:t>
      </w:r>
    </w:p>
    <w:p>
      <w:pPr>
        <w:pStyle w:val="ListBullet"/>
      </w:pPr>
      <w:r>
        <w:t>Confirm mandatory handover prerequisites.</w:t>
      </w:r>
    </w:p>
    <w:p>
      <w:pPr>
        <w:pStyle w:val="Heading2"/>
      </w:pPr>
      <w:r>
        <w:t>Chapter 4 — Handover Governance Model</w:t>
      </w:r>
    </w:p>
    <w:p>
      <w:r>
        <w:t>Chapter Purpose. Define stages, authorities, evidence and decisions governing handover.</w:t>
      </w:r>
    </w:p>
    <w:p>
      <w:pPr>
        <w:pStyle w:val="Heading3"/>
      </w:pPr>
      <w:r>
        <w:t>Salient Things to Note</w:t>
      </w:r>
    </w:p>
    <w:p>
      <w:pPr>
        <w:pStyle w:val="ListBullet"/>
      </w:pPr>
      <w:r>
        <w:t>Handover stages require explicit evidence and authorized decisions; transfer does not imply acceptance.</w:t>
      </w:r>
    </w:p>
    <w:p>
      <w:pPr>
        <w:pStyle w:val="Heading3"/>
      </w:pPr>
      <w:r>
        <w:t>Principal Components</w:t>
      </w:r>
    </w:p>
    <w:p>
      <w:pPr>
        <w:pStyle w:val="ListBullet"/>
      </w:pPr>
      <w:r>
        <w:t>Stages</w:t>
      </w:r>
    </w:p>
    <w:p>
      <w:pPr>
        <w:pStyle w:val="ListBullet"/>
      </w:pPr>
      <w:r>
        <w:t>entry/exit</w:t>
      </w:r>
    </w:p>
    <w:p>
      <w:pPr>
        <w:pStyle w:val="ListBullet"/>
      </w:pPr>
      <w:r>
        <w:t>decision authority</w:t>
      </w:r>
    </w:p>
    <w:p>
      <w:pPr>
        <w:pStyle w:val="ListBullet"/>
      </w:pPr>
      <w:r>
        <w:t>evidence</w:t>
      </w:r>
    </w:p>
    <w:p>
      <w:pPr>
        <w:pStyle w:val="ListBullet"/>
      </w:pPr>
      <w:r>
        <w:t>conditional/blocked states</w:t>
      </w:r>
    </w:p>
    <w:p>
      <w:pPr>
        <w:pStyle w:val="Heading3"/>
      </w:pPr>
      <w:r>
        <w:t>Upstream Dependencies / Authority</w:t>
      </w:r>
    </w:p>
    <w:p>
      <w:pPr>
        <w:pStyle w:val="ListBullet"/>
      </w:pPr>
      <w:r>
        <w:t>NCIE-001–017</w:t>
      </w:r>
    </w:p>
    <w:p>
      <w:pPr>
        <w:pStyle w:val="Heading3"/>
      </w:pPr>
      <w:r>
        <w:t>Human Review Focus</w:t>
      </w:r>
    </w:p>
    <w:p>
      <w:pPr>
        <w:pStyle w:val="ListBullet"/>
      </w:pPr>
      <w:r>
        <w:t>Confirm handover stages/decision authorities.</w:t>
      </w:r>
    </w:p>
    <w:p>
      <w:pPr>
        <w:pStyle w:val="Heading2"/>
      </w:pPr>
      <w:r>
        <w:t>Chapter 5 — Organizational Capability Model</w:t>
      </w:r>
    </w:p>
    <w:p>
      <w:r>
        <w:t>Chapter Purpose. Define institutional capabilities required to operate NCIE.</w:t>
      </w:r>
    </w:p>
    <w:p>
      <w:pPr>
        <w:pStyle w:val="Heading3"/>
      </w:pPr>
      <w:r>
        <w:t>Salient Things to Note</w:t>
      </w:r>
    </w:p>
    <w:p>
      <w:pPr>
        <w:pStyle w:val="ListBullet"/>
      </w:pPr>
      <w:r>
        <w:t>Capability requirements describe what the institution needs, not an invented organization chart.</w:t>
      </w:r>
    </w:p>
    <w:p>
      <w:pPr>
        <w:pStyle w:val="Heading3"/>
      </w:pPr>
      <w:r>
        <w:t>Principal Components</w:t>
      </w:r>
    </w:p>
    <w:p>
      <w:pPr>
        <w:pStyle w:val="ListBullet"/>
      </w:pPr>
      <w:r>
        <w:t>Capability domains</w:t>
      </w:r>
    </w:p>
    <w:p>
      <w:pPr>
        <w:pStyle w:val="ListBullet"/>
      </w:pPr>
      <w:r>
        <w:t>required functions</w:t>
      </w:r>
    </w:p>
    <w:p>
      <w:pPr>
        <w:pStyle w:val="ListBullet"/>
      </w:pPr>
      <w:r>
        <w:t>interfaces</w:t>
      </w:r>
    </w:p>
    <w:p>
      <w:pPr>
        <w:pStyle w:val="ListBullet"/>
      </w:pPr>
      <w:r>
        <w:t>gaps</w:t>
      </w:r>
    </w:p>
    <w:p>
      <w:pPr>
        <w:pStyle w:val="ListBullet"/>
      </w:pPr>
      <w:r>
        <w:t>dependencies</w:t>
      </w:r>
    </w:p>
    <w:p>
      <w:pPr>
        <w:pStyle w:val="Heading3"/>
      </w:pPr>
      <w:r>
        <w:t>Upstream Dependencies / Authority</w:t>
      </w:r>
    </w:p>
    <w:p>
      <w:pPr>
        <w:pStyle w:val="ListBullet"/>
      </w:pPr>
      <w:r>
        <w:t>NCIE-001–017</w:t>
      </w:r>
    </w:p>
    <w:p>
      <w:pPr>
        <w:pStyle w:val="Heading3"/>
      </w:pPr>
      <w:r>
        <w:t>Human Review Focus</w:t>
      </w:r>
    </w:p>
    <w:p>
      <w:pPr>
        <w:pStyle w:val="ListBullet"/>
      </w:pPr>
      <w:r>
        <w:t>Confirm required institutional capability domains.</w:t>
      </w:r>
    </w:p>
    <w:p>
      <w:pPr>
        <w:pStyle w:val="Heading2"/>
      </w:pPr>
      <w:r>
        <w:t>Chapter 6 — Operational Role &amp; Responsibility Catalogue</w:t>
      </w:r>
    </w:p>
    <w:p>
      <w:r>
        <w:t>Chapter Purpose. Define role-based responsibilities without appointing individuals.</w:t>
      </w:r>
    </w:p>
    <w:p>
      <w:pPr>
        <w:pStyle w:val="Heading3"/>
      </w:pPr>
      <w:r>
        <w:t>Salient Things to Note</w:t>
      </w:r>
    </w:p>
    <w:p>
      <w:pPr>
        <w:pStyle w:val="ListBullet"/>
      </w:pPr>
      <w:r>
        <w:t>ROLE DEFINED ≠ PERSON APPOINTED; named appointments require Human authority.</w:t>
      </w:r>
    </w:p>
    <w:p>
      <w:pPr>
        <w:pStyle w:val="Heading3"/>
      </w:pPr>
      <w:r>
        <w:t>Principal Components</w:t>
      </w:r>
    </w:p>
    <w:p>
      <w:pPr>
        <w:pStyle w:val="ListBullet"/>
      </w:pPr>
      <w:r>
        <w:t>Role ID</w:t>
      </w:r>
    </w:p>
    <w:p>
      <w:pPr>
        <w:pStyle w:val="ListBullet"/>
      </w:pPr>
      <w:r>
        <w:t>responsibilities</w:t>
      </w:r>
    </w:p>
    <w:p>
      <w:pPr>
        <w:pStyle w:val="ListBullet"/>
      </w:pPr>
      <w:r>
        <w:t>authority boundary</w:t>
      </w:r>
    </w:p>
    <w:p>
      <w:pPr>
        <w:pStyle w:val="ListBullet"/>
      </w:pPr>
      <w:r>
        <w:t>escalation</w:t>
      </w:r>
    </w:p>
    <w:p>
      <w:pPr>
        <w:pStyle w:val="ListBullet"/>
      </w:pPr>
      <w:r>
        <w:t>SoD</w:t>
      </w:r>
    </w:p>
    <w:p>
      <w:pPr>
        <w:pStyle w:val="ListBullet"/>
      </w:pPr>
      <w:r>
        <w:t>evidence</w:t>
      </w:r>
    </w:p>
    <w:p>
      <w:pPr>
        <w:pStyle w:val="Heading3"/>
      </w:pPr>
      <w:r>
        <w:t>Upstream Dependencies / Authority</w:t>
      </w:r>
    </w:p>
    <w:p>
      <w:pPr>
        <w:pStyle w:val="ListBullet"/>
      </w:pPr>
      <w:r>
        <w:t>NCIE-001–017</w:t>
      </w:r>
    </w:p>
    <w:p>
      <w:pPr>
        <w:pStyle w:val="Heading3"/>
      </w:pPr>
      <w:r>
        <w:t>Human Review Focus</w:t>
      </w:r>
    </w:p>
    <w:p>
      <w:pPr>
        <w:pStyle w:val="ListBullet"/>
      </w:pPr>
      <w:r>
        <w:t>Confirm operational role catalogue and appointment authority.</w:t>
      </w:r>
    </w:p>
    <w:p>
      <w:pPr>
        <w:pStyle w:val="Heading2"/>
      </w:pPr>
      <w:r>
        <w:t>Chapter 7 — Staffing Requirement &amp; Capacity Planning</w:t>
      </w:r>
    </w:p>
    <w:p>
      <w:r>
        <w:t>Chapter Purpose. Define staffing/capacity requirements without inventing headcount or employment decisions.</w:t>
      </w:r>
    </w:p>
    <w:p>
      <w:pPr>
        <w:pStyle w:val="Heading3"/>
      </w:pPr>
      <w:r>
        <w:t>Salient Things to Note</w:t>
      </w:r>
    </w:p>
    <w:p>
      <w:pPr>
        <w:pStyle w:val="ListBullet"/>
      </w:pPr>
      <w:r>
        <w:t>STAFFING REQUIREMENT ≠ AUTHORIZED HEADCOUNT; do not fabricate staffing numbers/budgets.</w:t>
      </w:r>
    </w:p>
    <w:p>
      <w:pPr>
        <w:pStyle w:val="Heading3"/>
      </w:pPr>
      <w:r>
        <w:t>Principal Components</w:t>
      </w:r>
    </w:p>
    <w:p>
      <w:pPr>
        <w:pStyle w:val="ListBullet"/>
      </w:pPr>
      <w:r>
        <w:t>Workload/capacity basis</w:t>
      </w:r>
    </w:p>
    <w:p>
      <w:pPr>
        <w:pStyle w:val="ListBullet"/>
      </w:pPr>
      <w:r>
        <w:t>coverage needs</w:t>
      </w:r>
    </w:p>
    <w:p>
      <w:pPr>
        <w:pStyle w:val="ListBullet"/>
      </w:pPr>
      <w:r>
        <w:t>assumptions</w:t>
      </w:r>
    </w:p>
    <w:p>
      <w:pPr>
        <w:pStyle w:val="ListBullet"/>
      </w:pPr>
      <w:r>
        <w:t>gaps</w:t>
      </w:r>
    </w:p>
    <w:p>
      <w:pPr>
        <w:pStyle w:val="ListBullet"/>
      </w:pPr>
      <w:r>
        <w:t>HR approval</w:t>
      </w:r>
    </w:p>
    <w:p>
      <w:pPr>
        <w:pStyle w:val="Heading3"/>
      </w:pPr>
      <w:r>
        <w:t>Upstream Dependencies / Authority</w:t>
      </w:r>
    </w:p>
    <w:p>
      <w:pPr>
        <w:pStyle w:val="ListBullet"/>
      </w:pPr>
      <w:r>
        <w:t>NCIE-001–017</w:t>
      </w:r>
    </w:p>
    <w:p>
      <w:pPr>
        <w:pStyle w:val="Heading3"/>
      </w:pPr>
      <w:r>
        <w:t>Human Review Focus</w:t>
      </w:r>
    </w:p>
    <w:p>
      <w:pPr>
        <w:pStyle w:val="ListBullet"/>
      </w:pPr>
      <w:r>
        <w:t>Confirm staffing/capacity planning authority and evidence basis.</w:t>
      </w:r>
    </w:p>
    <w:p>
      <w:pPr>
        <w:pStyle w:val="Heading2"/>
      </w:pPr>
      <w:r>
        <w:t>Chapter 8 — Skills, Competency &amp; Qualification Framework</w:t>
      </w:r>
    </w:p>
    <w:p>
      <w:r>
        <w:t>Chapter Purpose. Define skills/competencies and qualification evidence for operational roles.</w:t>
      </w:r>
    </w:p>
    <w:p>
      <w:pPr>
        <w:pStyle w:val="Heading3"/>
      </w:pPr>
      <w:r>
        <w:t>Salient Things to Note</w:t>
      </w:r>
    </w:p>
    <w:p>
      <w:pPr>
        <w:pStyle w:val="ListBullet"/>
      </w:pPr>
      <w:r>
        <w:t>SKILL REQUIREMENT ≠ PERSONNEL COMPETENCE CONFIRMED.</w:t>
      </w:r>
    </w:p>
    <w:p>
      <w:pPr>
        <w:pStyle w:val="Heading3"/>
      </w:pPr>
      <w:r>
        <w:t>Principal Components</w:t>
      </w:r>
    </w:p>
    <w:p>
      <w:pPr>
        <w:pStyle w:val="ListBullet"/>
      </w:pPr>
      <w:r>
        <w:t>Skill</w:t>
      </w:r>
    </w:p>
    <w:p>
      <w:pPr>
        <w:pStyle w:val="ListBullet"/>
      </w:pPr>
      <w:r>
        <w:t>competency</w:t>
      </w:r>
    </w:p>
    <w:p>
      <w:pPr>
        <w:pStyle w:val="ListBullet"/>
      </w:pPr>
      <w:r>
        <w:t>qualification evidence</w:t>
      </w:r>
    </w:p>
    <w:p>
      <w:pPr>
        <w:pStyle w:val="ListBullet"/>
      </w:pPr>
      <w:r>
        <w:t>renewal/review</w:t>
      </w:r>
    </w:p>
    <w:p>
      <w:pPr>
        <w:pStyle w:val="ListBullet"/>
      </w:pPr>
      <w:r>
        <w:t>gap</w:t>
      </w:r>
    </w:p>
    <w:p>
      <w:pPr>
        <w:pStyle w:val="Heading3"/>
      </w:pPr>
      <w:r>
        <w:t>Upstream Dependencies / Authority</w:t>
      </w:r>
    </w:p>
    <w:p>
      <w:pPr>
        <w:pStyle w:val="ListBullet"/>
      </w:pPr>
      <w:r>
        <w:t>NCIE-001–017</w:t>
      </w:r>
    </w:p>
    <w:p>
      <w:pPr>
        <w:pStyle w:val="Heading3"/>
      </w:pPr>
      <w:r>
        <w:t>Human Review Focus</w:t>
      </w:r>
    </w:p>
    <w:p>
      <w:pPr>
        <w:pStyle w:val="ListBullet"/>
      </w:pPr>
      <w:r>
        <w:t>Confirm competency/qualification requirements.</w:t>
      </w:r>
    </w:p>
    <w:p>
      <w:pPr>
        <w:pStyle w:val="Heading2"/>
      </w:pPr>
      <w:r>
        <w:t>Chapter 9 — Segregation of Duties &amp; Role Conflict Control</w:t>
      </w:r>
    </w:p>
    <w:p>
      <w:r>
        <w:t>Chapter Purpose. Preserve SoD and prevent conflicting operational authority.</w:t>
      </w:r>
    </w:p>
    <w:p>
      <w:pPr>
        <w:pStyle w:val="Heading3"/>
      </w:pPr>
      <w:r>
        <w:t>Salient Things to Note</w:t>
      </w:r>
    </w:p>
    <w:p>
      <w:pPr>
        <w:pStyle w:val="ListBullet"/>
      </w:pPr>
      <w:r>
        <w:t>Operational convenience cannot override NCIE-008 segregation-of-duties controls.</w:t>
      </w:r>
    </w:p>
    <w:p>
      <w:pPr>
        <w:pStyle w:val="Heading3"/>
      </w:pPr>
      <w:r>
        <w:t>Principal Components</w:t>
      </w:r>
    </w:p>
    <w:p>
      <w:pPr>
        <w:pStyle w:val="ListBullet"/>
      </w:pPr>
      <w:r>
        <w:t>Conflicting roles</w:t>
      </w:r>
    </w:p>
    <w:p>
      <w:pPr>
        <w:pStyle w:val="ListBullet"/>
      </w:pPr>
      <w:r>
        <w:t>prohibited combinations</w:t>
      </w:r>
    </w:p>
    <w:p>
      <w:pPr>
        <w:pStyle w:val="ListBullet"/>
      </w:pPr>
      <w:r>
        <w:t>recusal</w:t>
      </w:r>
    </w:p>
    <w:p>
      <w:pPr>
        <w:pStyle w:val="ListBullet"/>
      </w:pPr>
      <w:r>
        <w:t>dual control</w:t>
      </w:r>
    </w:p>
    <w:p>
      <w:pPr>
        <w:pStyle w:val="ListBullet"/>
      </w:pPr>
      <w:r>
        <w:t>review</w:t>
      </w:r>
    </w:p>
    <w:p>
      <w:pPr>
        <w:pStyle w:val="Heading3"/>
      </w:pPr>
      <w:r>
        <w:t>Upstream Dependencies / Authority</w:t>
      </w:r>
    </w:p>
    <w:p>
      <w:pPr>
        <w:pStyle w:val="ListBullet"/>
      </w:pPr>
      <w:r>
        <w:t>NCIE-001–017</w:t>
      </w:r>
    </w:p>
    <w:p>
      <w:pPr>
        <w:pStyle w:val="Heading3"/>
      </w:pPr>
      <w:r>
        <w:t>Human Review Focus</w:t>
      </w:r>
    </w:p>
    <w:p>
      <w:pPr>
        <w:pStyle w:val="ListBullet"/>
      </w:pPr>
      <w:r>
        <w:t>Confirm SoD conflicts and exception authority.</w:t>
      </w:r>
    </w:p>
    <w:p>
      <w:pPr>
        <w:pStyle w:val="Heading2"/>
      </w:pPr>
      <w:r>
        <w:t>Chapter 10 — Operational Ownership by Platform Domain</w:t>
      </w:r>
    </w:p>
    <w:p>
      <w:r>
        <w:t>Chapter Purpose. Map platform domains to accountable operational role classes.</w:t>
      </w:r>
    </w:p>
    <w:p>
      <w:pPr>
        <w:pStyle w:val="Heading3"/>
      </w:pPr>
      <w:r>
        <w:t>Salient Things to Note</w:t>
      </w:r>
    </w:p>
    <w:p>
      <w:pPr>
        <w:pStyle w:val="ListBullet"/>
      </w:pPr>
      <w:r>
        <w:t>OPERATIONAL OWNER ≠ INSTITUTIONAL DECISION AUTHORITY.</w:t>
      </w:r>
    </w:p>
    <w:p>
      <w:pPr>
        <w:pStyle w:val="Heading3"/>
      </w:pPr>
      <w:r>
        <w:t>Principal Components</w:t>
      </w:r>
    </w:p>
    <w:p>
      <w:pPr>
        <w:pStyle w:val="ListBullet"/>
      </w:pPr>
      <w:r>
        <w:t>Platform domain</w:t>
      </w:r>
    </w:p>
    <w:p>
      <w:pPr>
        <w:pStyle w:val="ListBullet"/>
      </w:pPr>
      <w:r>
        <w:t>operator role</w:t>
      </w:r>
    </w:p>
    <w:p>
      <w:pPr>
        <w:pStyle w:val="ListBullet"/>
      </w:pPr>
      <w:r>
        <w:t>governance authority</w:t>
      </w:r>
    </w:p>
    <w:p>
      <w:pPr>
        <w:pStyle w:val="ListBullet"/>
      </w:pPr>
      <w:r>
        <w:t>escalation</w:t>
      </w:r>
    </w:p>
    <w:p>
      <w:pPr>
        <w:pStyle w:val="ListBullet"/>
      </w:pPr>
      <w:r>
        <w:t>backup role</w:t>
      </w:r>
    </w:p>
    <w:p>
      <w:pPr>
        <w:pStyle w:val="Heading3"/>
      </w:pPr>
      <w:r>
        <w:t>Upstream Dependencies / Authority</w:t>
      </w:r>
    </w:p>
    <w:p>
      <w:pPr>
        <w:pStyle w:val="ListBullet"/>
      </w:pPr>
      <w:r>
        <w:t>NCIE-001–017</w:t>
      </w:r>
    </w:p>
    <w:p>
      <w:pPr>
        <w:pStyle w:val="Heading3"/>
      </w:pPr>
      <w:r>
        <w:t>Human Review Focus</w:t>
      </w:r>
    </w:p>
    <w:p>
      <w:pPr>
        <w:pStyle w:val="ListBullet"/>
      </w:pPr>
      <w:r>
        <w:t>Confirm platform-domain ownership roles.</w:t>
      </w:r>
    </w:p>
    <w:p>
      <w:pPr>
        <w:pStyle w:val="Heading2"/>
      </w:pPr>
      <w:r>
        <w:t>Chapter 11 — Service Ownership &amp; Accountability Model</w:t>
      </w:r>
    </w:p>
    <w:p>
      <w:r>
        <w:t>Chapter Purpose. Define service ownership, accountability and escalation interfaces.</w:t>
      </w:r>
    </w:p>
    <w:p>
      <w:pPr>
        <w:pStyle w:val="Heading3"/>
      </w:pPr>
      <w:r>
        <w:t>Salient Things to Note</w:t>
      </w:r>
    </w:p>
    <w:p>
      <w:pPr>
        <w:pStyle w:val="ListBullet"/>
      </w:pPr>
      <w:r>
        <w:t>SUPPORT OWNERSHIP ≠ SYSTEM-OF-RECORD OWNERSHIP.</w:t>
      </w:r>
    </w:p>
    <w:p>
      <w:pPr>
        <w:pStyle w:val="Heading3"/>
      </w:pPr>
      <w:r>
        <w:t>Principal Components</w:t>
      </w:r>
    </w:p>
    <w:p>
      <w:pPr>
        <w:pStyle w:val="ListBullet"/>
      </w:pPr>
      <w:r>
        <w:t>Service</w:t>
      </w:r>
    </w:p>
    <w:p>
      <w:pPr>
        <w:pStyle w:val="ListBullet"/>
      </w:pPr>
      <w:r>
        <w:t>owner role</w:t>
      </w:r>
    </w:p>
    <w:p>
      <w:pPr>
        <w:pStyle w:val="ListBullet"/>
      </w:pPr>
      <w:r>
        <w:t>support role</w:t>
      </w:r>
    </w:p>
    <w:p>
      <w:pPr>
        <w:pStyle w:val="ListBullet"/>
      </w:pPr>
      <w:r>
        <w:t>SLO interface</w:t>
      </w:r>
    </w:p>
    <w:p>
      <w:pPr>
        <w:pStyle w:val="ListBullet"/>
      </w:pPr>
      <w:r>
        <w:t>escalation</w:t>
      </w:r>
    </w:p>
    <w:p>
      <w:pPr>
        <w:pStyle w:val="ListBullet"/>
      </w:pPr>
      <w:r>
        <w:t>dependencies</w:t>
      </w:r>
    </w:p>
    <w:p>
      <w:pPr>
        <w:pStyle w:val="Heading3"/>
      </w:pPr>
      <w:r>
        <w:t>Upstream Dependencies / Authority</w:t>
      </w:r>
    </w:p>
    <w:p>
      <w:pPr>
        <w:pStyle w:val="ListBullet"/>
      </w:pPr>
      <w:r>
        <w:t>NCIE-001–017</w:t>
      </w:r>
    </w:p>
    <w:p>
      <w:pPr>
        <w:pStyle w:val="Heading3"/>
      </w:pPr>
      <w:r>
        <w:t>Human Review Focus</w:t>
      </w:r>
    </w:p>
    <w:p>
      <w:pPr>
        <w:pStyle w:val="ListBullet"/>
      </w:pPr>
      <w:r>
        <w:t>Confirm service-owner/support-owner model.</w:t>
      </w:r>
    </w:p>
    <w:p>
      <w:pPr>
        <w:pStyle w:val="Heading2"/>
      </w:pPr>
      <w:r>
        <w:t>Chapter 12 — Runbook Ownership &amp; Procedure Governance</w:t>
      </w:r>
    </w:p>
    <w:p>
      <w:r>
        <w:t>Chapter Purpose. Govern runbook ownership, review and operational use.</w:t>
      </w:r>
    </w:p>
    <w:p>
      <w:pPr>
        <w:pStyle w:val="Heading3"/>
      </w:pPr>
      <w:r>
        <w:t>Salient Things to Note</w:t>
      </w:r>
    </w:p>
    <w:p>
      <w:pPr>
        <w:pStyle w:val="ListBullet"/>
      </w:pPr>
      <w:r>
        <w:t>RUNBOOK ASSIGNED ≠ RUNBOOK VALIDATED; procedures remain versioned/governed.</w:t>
      </w:r>
    </w:p>
    <w:p>
      <w:pPr>
        <w:pStyle w:val="Heading3"/>
      </w:pPr>
      <w:r>
        <w:t>Principal Components</w:t>
      </w:r>
    </w:p>
    <w:p>
      <w:pPr>
        <w:pStyle w:val="ListBullet"/>
      </w:pPr>
      <w:r>
        <w:t>Runbook</w:t>
      </w:r>
    </w:p>
    <w:p>
      <w:pPr>
        <w:pStyle w:val="ListBullet"/>
      </w:pPr>
      <w:r>
        <w:t>owner role</w:t>
      </w:r>
    </w:p>
    <w:p>
      <w:pPr>
        <w:pStyle w:val="ListBullet"/>
      </w:pPr>
      <w:r>
        <w:t>reviewer</w:t>
      </w:r>
    </w:p>
    <w:p>
      <w:pPr>
        <w:pStyle w:val="ListBullet"/>
      </w:pPr>
      <w:r>
        <w:t>trigger</w:t>
      </w:r>
    </w:p>
    <w:p>
      <w:pPr>
        <w:pStyle w:val="ListBullet"/>
      </w:pPr>
      <w:r>
        <w:t>version</w:t>
      </w:r>
    </w:p>
    <w:p>
      <w:pPr>
        <w:pStyle w:val="ListBullet"/>
      </w:pPr>
      <w:r>
        <w:t>validation</w:t>
      </w:r>
    </w:p>
    <w:p>
      <w:pPr>
        <w:pStyle w:val="ListBullet"/>
      </w:pPr>
      <w:r>
        <w:t>escalation</w:t>
      </w:r>
    </w:p>
    <w:p>
      <w:pPr>
        <w:pStyle w:val="Heading3"/>
      </w:pPr>
      <w:r>
        <w:t>Upstream Dependencies / Authority</w:t>
      </w:r>
    </w:p>
    <w:p>
      <w:pPr>
        <w:pStyle w:val="ListBullet"/>
      </w:pPr>
      <w:r>
        <w:t>NCIE-001–017</w:t>
      </w:r>
    </w:p>
    <w:p>
      <w:pPr>
        <w:pStyle w:val="Heading3"/>
      </w:pPr>
      <w:r>
        <w:t>Human Review Focus</w:t>
      </w:r>
    </w:p>
    <w:p>
      <w:pPr>
        <w:pStyle w:val="ListBullet"/>
      </w:pPr>
      <w:r>
        <w:t>Confirm runbook ownership/review authority.</w:t>
      </w:r>
    </w:p>
    <w:p>
      <w:pPr>
        <w:pStyle w:val="Heading2"/>
      </w:pPr>
      <w:r>
        <w:t>Chapter 13 — Administration Plane Ownership</w:t>
      </w:r>
    </w:p>
    <w:p>
      <w:r>
        <w:t>Chapter Purpose. Define ownership of administration surfaces and governed administrative actions.</w:t>
      </w:r>
    </w:p>
    <w:p>
      <w:pPr>
        <w:pStyle w:val="Heading3"/>
      </w:pPr>
      <w:r>
        <w:t>Salient Things to Note</w:t>
      </w:r>
    </w:p>
    <w:p>
      <w:pPr>
        <w:pStyle w:val="ListBullet"/>
      </w:pPr>
      <w:r>
        <w:t>Administration privileges remain authorized/audited and do not bypass governance.</w:t>
      </w:r>
    </w:p>
    <w:p>
      <w:pPr>
        <w:pStyle w:val="Heading3"/>
      </w:pPr>
      <w:r>
        <w:t>Principal Components</w:t>
      </w:r>
    </w:p>
    <w:p>
      <w:pPr>
        <w:pStyle w:val="ListBullet"/>
      </w:pPr>
      <w:r>
        <w:t>Admin surface</w:t>
      </w:r>
    </w:p>
    <w:p>
      <w:pPr>
        <w:pStyle w:val="ListBullet"/>
      </w:pPr>
      <w:r>
        <w:t>authorized role</w:t>
      </w:r>
    </w:p>
    <w:p>
      <w:pPr>
        <w:pStyle w:val="ListBullet"/>
      </w:pPr>
      <w:r>
        <w:t>action class</w:t>
      </w:r>
    </w:p>
    <w:p>
      <w:pPr>
        <w:pStyle w:val="ListBullet"/>
      </w:pPr>
      <w:r>
        <w:t>audit</w:t>
      </w:r>
    </w:p>
    <w:p>
      <w:pPr>
        <w:pStyle w:val="ListBullet"/>
      </w:pPr>
      <w:r>
        <w:t>escalation</w:t>
      </w:r>
    </w:p>
    <w:p>
      <w:pPr>
        <w:pStyle w:val="Heading3"/>
      </w:pPr>
      <w:r>
        <w:t>Upstream Dependencies / Authority</w:t>
      </w:r>
    </w:p>
    <w:p>
      <w:pPr>
        <w:pStyle w:val="ListBullet"/>
      </w:pPr>
      <w:r>
        <w:t>NCIE-001–017</w:t>
      </w:r>
    </w:p>
    <w:p>
      <w:pPr>
        <w:pStyle w:val="Heading3"/>
      </w:pPr>
      <w:r>
        <w:t>Human Review Focus</w:t>
      </w:r>
    </w:p>
    <w:p>
      <w:pPr>
        <w:pStyle w:val="ListBullet"/>
      </w:pPr>
      <w:r>
        <w:t>Confirm Administration Plane ownership.</w:t>
      </w:r>
    </w:p>
    <w:p>
      <w:pPr>
        <w:pStyle w:val="Heading2"/>
      </w:pPr>
      <w:r>
        <w:t>Chapter 14 — IAM, Security &amp; Privileged-Operations Ownership</w:t>
      </w:r>
    </w:p>
    <w:p>
      <w:r>
        <w:t>Chapter Purpose. Define organizational ownership of IAM/security/privileged operations.</w:t>
      </w:r>
    </w:p>
    <w:p>
      <w:pPr>
        <w:pStyle w:val="Heading3"/>
      </w:pPr>
      <w:r>
        <w:t>Salient Things to Note</w:t>
      </w:r>
    </w:p>
    <w:p>
      <w:pPr>
        <w:pStyle w:val="ListBullet"/>
      </w:pPr>
      <w:r>
        <w:t>PRIVILEGED ROLE ≠ CONTENT AUTHORITY.</w:t>
      </w:r>
    </w:p>
    <w:p>
      <w:pPr>
        <w:pStyle w:val="Heading3"/>
      </w:pPr>
      <w:r>
        <w:t>Principal Components</w:t>
      </w:r>
    </w:p>
    <w:p>
      <w:pPr>
        <w:pStyle w:val="ListBullet"/>
      </w:pPr>
      <w:r>
        <w:t>IAM</w:t>
      </w:r>
    </w:p>
    <w:p>
      <w:pPr>
        <w:pStyle w:val="ListBullet"/>
      </w:pPr>
      <w:r>
        <w:t>PAM</w:t>
      </w:r>
    </w:p>
    <w:p>
      <w:pPr>
        <w:pStyle w:val="ListBullet"/>
      </w:pPr>
      <w:r>
        <w:t>secrets</w:t>
      </w:r>
    </w:p>
    <w:p>
      <w:pPr>
        <w:pStyle w:val="ListBullet"/>
      </w:pPr>
      <w:r>
        <w:t>security monitoring</w:t>
      </w:r>
    </w:p>
    <w:p>
      <w:pPr>
        <w:pStyle w:val="ListBullet"/>
      </w:pPr>
      <w:r>
        <w:t>break-glass</w:t>
      </w:r>
    </w:p>
    <w:p>
      <w:pPr>
        <w:pStyle w:val="ListBullet"/>
      </w:pPr>
      <w:r>
        <w:t>on-call</w:t>
      </w:r>
    </w:p>
    <w:p>
      <w:pPr>
        <w:pStyle w:val="ListBullet"/>
      </w:pPr>
      <w:r>
        <w:t>SoD</w:t>
      </w:r>
    </w:p>
    <w:p>
      <w:pPr>
        <w:pStyle w:val="Heading3"/>
      </w:pPr>
      <w:r>
        <w:t>Upstream Dependencies / Authority</w:t>
      </w:r>
    </w:p>
    <w:p>
      <w:pPr>
        <w:pStyle w:val="ListBullet"/>
      </w:pPr>
      <w:r>
        <w:t>NCIE-001–017</w:t>
      </w:r>
    </w:p>
    <w:p>
      <w:pPr>
        <w:pStyle w:val="Heading3"/>
      </w:pPr>
      <w:r>
        <w:t>Human Review Focus</w:t>
      </w:r>
    </w:p>
    <w:p>
      <w:pPr>
        <w:pStyle w:val="ListBullet"/>
      </w:pPr>
      <w:r>
        <w:t>Confirm security/IAM/PAM operational ownership.</w:t>
      </w:r>
    </w:p>
    <w:p>
      <w:pPr>
        <w:pStyle w:val="Heading2"/>
      </w:pPr>
      <w:r>
        <w:t>Chapter 15 — Data Stewardship &amp; Persistence-Operations Ownership</w:t>
      </w:r>
    </w:p>
    <w:p>
      <w:r>
        <w:t>Chapter Purpose. Define stewardship and operational responsibility for data/persistence.</w:t>
      </w:r>
    </w:p>
    <w:p>
      <w:pPr>
        <w:pStyle w:val="Heading3"/>
      </w:pPr>
      <w:r>
        <w:t>Salient Things to Note</w:t>
      </w:r>
    </w:p>
    <w:p>
      <w:pPr>
        <w:pStyle w:val="ListBullet"/>
      </w:pPr>
      <w:r>
        <w:t>Data operations do not create canonical semantic or Evidence authority.</w:t>
      </w:r>
    </w:p>
    <w:p>
      <w:pPr>
        <w:pStyle w:val="Heading3"/>
      </w:pPr>
      <w:r>
        <w:t>Principal Components</w:t>
      </w:r>
    </w:p>
    <w:p>
      <w:pPr>
        <w:pStyle w:val="ListBullet"/>
      </w:pPr>
      <w:r>
        <w:t>Data stewardship</w:t>
      </w:r>
    </w:p>
    <w:p>
      <w:pPr>
        <w:pStyle w:val="ListBullet"/>
      </w:pPr>
      <w:r>
        <w:t>DB/storage ops</w:t>
      </w:r>
    </w:p>
    <w:p>
      <w:pPr>
        <w:pStyle w:val="ListBullet"/>
      </w:pPr>
      <w:r>
        <w:t>backup/restore</w:t>
      </w:r>
    </w:p>
    <w:p>
      <w:pPr>
        <w:pStyle w:val="ListBullet"/>
      </w:pPr>
      <w:r>
        <w:t>migration</w:t>
      </w:r>
    </w:p>
    <w:p>
      <w:pPr>
        <w:pStyle w:val="ListBullet"/>
      </w:pPr>
      <w:r>
        <w:t>quality</w:t>
      </w:r>
    </w:p>
    <w:p>
      <w:pPr>
        <w:pStyle w:val="ListBullet"/>
      </w:pPr>
      <w:r>
        <w:t>escalation</w:t>
      </w:r>
    </w:p>
    <w:p>
      <w:pPr>
        <w:pStyle w:val="Heading3"/>
      </w:pPr>
      <w:r>
        <w:t>Upstream Dependencies / Authority</w:t>
      </w:r>
    </w:p>
    <w:p>
      <w:pPr>
        <w:pStyle w:val="ListBullet"/>
      </w:pPr>
      <w:r>
        <w:t>NCIE-001–017</w:t>
      </w:r>
    </w:p>
    <w:p>
      <w:pPr>
        <w:pStyle w:val="Heading3"/>
      </w:pPr>
      <w:r>
        <w:t>Human Review Focus</w:t>
      </w:r>
    </w:p>
    <w:p>
      <w:pPr>
        <w:pStyle w:val="ListBullet"/>
      </w:pPr>
      <w:r>
        <w:t>Confirm data stewardship/persistence ownership.</w:t>
      </w:r>
    </w:p>
    <w:p>
      <w:pPr>
        <w:pStyle w:val="Heading2"/>
      </w:pPr>
      <w:r>
        <w:t>Chapter 16 — ARGUS, AI, Agent, Model, Tool &amp; VPF Operational Ownership</w:t>
      </w:r>
    </w:p>
    <w:p>
      <w:r>
        <w:t>Chapter Purpose. Define accountable operation of ARGUS/AI/Agent/Model/Tool/VPF services.</w:t>
      </w:r>
    </w:p>
    <w:p>
      <w:pPr>
        <w:pStyle w:val="Heading3"/>
      </w:pPr>
      <w:r>
        <w:t>Salient Things to Note</w:t>
      </w:r>
    </w:p>
    <w:p>
      <w:pPr>
        <w:pStyle w:val="ListBullet"/>
      </w:pPr>
      <w:r>
        <w:t>AI-service operation cannot expand Agent/model/Tool/VPF authority or Human-Primary boundaries.</w:t>
      </w:r>
    </w:p>
    <w:p>
      <w:pPr>
        <w:pStyle w:val="Heading3"/>
      </w:pPr>
      <w:r>
        <w:t>Principal Components</w:t>
      </w:r>
    </w:p>
    <w:p>
      <w:pPr>
        <w:pStyle w:val="ListBullet"/>
      </w:pPr>
      <w:r>
        <w:t>ARGUS</w:t>
      </w:r>
    </w:p>
    <w:p>
      <w:pPr>
        <w:pStyle w:val="ListBullet"/>
      </w:pPr>
      <w:r>
        <w:t>Memory</w:t>
      </w:r>
    </w:p>
    <w:p>
      <w:pPr>
        <w:pStyle w:val="ListBullet"/>
      </w:pPr>
      <w:r>
        <w:t>Agent</w:t>
      </w:r>
    </w:p>
    <w:p>
      <w:pPr>
        <w:pStyle w:val="ListBullet"/>
      </w:pPr>
      <w:r>
        <w:t>Model</w:t>
      </w:r>
    </w:p>
    <w:p>
      <w:pPr>
        <w:pStyle w:val="ListBullet"/>
      </w:pPr>
      <w:r>
        <w:t>Tool</w:t>
      </w:r>
    </w:p>
    <w:p>
      <w:pPr>
        <w:pStyle w:val="ListBullet"/>
      </w:pPr>
      <w:r>
        <w:t>VPF</w:t>
      </w:r>
    </w:p>
    <w:p>
      <w:pPr>
        <w:pStyle w:val="ListBullet"/>
      </w:pPr>
      <w:r>
        <w:t>support</w:t>
      </w:r>
    </w:p>
    <w:p>
      <w:pPr>
        <w:pStyle w:val="ListBullet"/>
      </w:pPr>
      <w:r>
        <w:t>escalation</w:t>
      </w:r>
    </w:p>
    <w:p>
      <w:pPr>
        <w:pStyle w:val="Heading3"/>
      </w:pPr>
      <w:r>
        <w:t>Upstream Dependencies / Authority</w:t>
      </w:r>
    </w:p>
    <w:p>
      <w:pPr>
        <w:pStyle w:val="ListBullet"/>
      </w:pPr>
      <w:r>
        <w:t>NCIE-001–017</w:t>
      </w:r>
    </w:p>
    <w:p>
      <w:pPr>
        <w:pStyle w:val="Heading3"/>
      </w:pPr>
      <w:r>
        <w:t>Human Review Focus</w:t>
      </w:r>
    </w:p>
    <w:p>
      <w:pPr>
        <w:pStyle w:val="ListBullet"/>
      </w:pPr>
      <w:r>
        <w:t>Confirm AI/Agent service ownership and escalation.</w:t>
      </w:r>
    </w:p>
    <w:p>
      <w:pPr>
        <w:pStyle w:val="Heading2"/>
      </w:pPr>
      <w:r>
        <w:t>Chapter 17 — Evidence, Provenance &amp; Audit Operational Ownership</w:t>
      </w:r>
    </w:p>
    <w:p>
      <w:r>
        <w:t>Chapter Purpose. Define accountable operation of Evidence/provenance/audit capabilities.</w:t>
      </w:r>
    </w:p>
    <w:p>
      <w:pPr>
        <w:pStyle w:val="Heading3"/>
      </w:pPr>
      <w:r>
        <w:t>Salient Things to Note</w:t>
      </w:r>
    </w:p>
    <w:p>
      <w:pPr>
        <w:pStyle w:val="ListBullet"/>
      </w:pPr>
      <w:r>
        <w:t>Evidence/audit operators maintain systems but do not decide evidentiary truth or institutional Findings.</w:t>
      </w:r>
    </w:p>
    <w:p>
      <w:pPr>
        <w:pStyle w:val="Heading3"/>
      </w:pPr>
      <w:r>
        <w:t>Principal Components</w:t>
      </w:r>
    </w:p>
    <w:p>
      <w:pPr>
        <w:pStyle w:val="ListBullet"/>
      </w:pPr>
      <w:r>
        <w:t>Evidence store</w:t>
      </w:r>
    </w:p>
    <w:p>
      <w:pPr>
        <w:pStyle w:val="ListBullet"/>
      </w:pPr>
      <w:r>
        <w:t>custody</w:t>
      </w:r>
    </w:p>
    <w:p>
      <w:pPr>
        <w:pStyle w:val="ListBullet"/>
      </w:pPr>
      <w:r>
        <w:t>provenance</w:t>
      </w:r>
    </w:p>
    <w:p>
      <w:pPr>
        <w:pStyle w:val="ListBullet"/>
      </w:pPr>
      <w:r>
        <w:t>audit</w:t>
      </w:r>
    </w:p>
    <w:p>
      <w:pPr>
        <w:pStyle w:val="ListBullet"/>
      </w:pPr>
      <w:r>
        <w:t>integrity</w:t>
      </w:r>
    </w:p>
    <w:p>
      <w:pPr>
        <w:pStyle w:val="ListBullet"/>
      </w:pPr>
      <w:r>
        <w:t>privileged access</w:t>
      </w:r>
    </w:p>
    <w:p>
      <w:pPr>
        <w:pStyle w:val="Heading3"/>
      </w:pPr>
      <w:r>
        <w:t>Upstream Dependencies / Authority</w:t>
      </w:r>
    </w:p>
    <w:p>
      <w:pPr>
        <w:pStyle w:val="ListBullet"/>
      </w:pPr>
      <w:r>
        <w:t>NCIE-001–017</w:t>
      </w:r>
    </w:p>
    <w:p>
      <w:pPr>
        <w:pStyle w:val="Heading3"/>
      </w:pPr>
      <w:r>
        <w:t>Human Review Focus</w:t>
      </w:r>
    </w:p>
    <w:p>
      <w:pPr>
        <w:pStyle w:val="ListBullet"/>
      </w:pPr>
      <w:r>
        <w:t>Confirm Evidence/audit operational ownership.</w:t>
      </w:r>
    </w:p>
    <w:p>
      <w:pPr>
        <w:pStyle w:val="Heading2"/>
      </w:pPr>
      <w:r>
        <w:t>Chapter 18 — API, Integration &amp; Connector Operational Ownership</w:t>
      </w:r>
    </w:p>
    <w:p>
      <w:r>
        <w:t>Chapter Purpose. Define ownership of APIs/events/connectors/external integrations.</w:t>
      </w:r>
    </w:p>
    <w:p>
      <w:pPr>
        <w:pStyle w:val="Heading3"/>
      </w:pPr>
      <w:r>
        <w:t>Salient Things to Note</w:t>
      </w:r>
    </w:p>
    <w:p>
      <w:pPr>
        <w:pStyle w:val="ListBullet"/>
      </w:pPr>
      <w:r>
        <w:t>Connector/provider support cannot broaden data-disclosure authority.</w:t>
      </w:r>
    </w:p>
    <w:p>
      <w:pPr>
        <w:pStyle w:val="Heading3"/>
      </w:pPr>
      <w:r>
        <w:t>Principal Components</w:t>
      </w:r>
    </w:p>
    <w:p>
      <w:pPr>
        <w:pStyle w:val="ListBullet"/>
      </w:pPr>
      <w:r>
        <w:t>API gateway</w:t>
      </w:r>
    </w:p>
    <w:p>
      <w:pPr>
        <w:pStyle w:val="ListBullet"/>
      </w:pPr>
      <w:r>
        <w:t>event bus</w:t>
      </w:r>
    </w:p>
    <w:p>
      <w:pPr>
        <w:pStyle w:val="ListBullet"/>
      </w:pPr>
      <w:r>
        <w:t>connectors</w:t>
      </w:r>
    </w:p>
    <w:p>
      <w:pPr>
        <w:pStyle w:val="ListBullet"/>
      </w:pPr>
      <w:r>
        <w:t>providers</w:t>
      </w:r>
    </w:p>
    <w:p>
      <w:pPr>
        <w:pStyle w:val="ListBullet"/>
      </w:pPr>
      <w:r>
        <w:t>schema support</w:t>
      </w:r>
    </w:p>
    <w:p>
      <w:pPr>
        <w:pStyle w:val="ListBullet"/>
      </w:pPr>
      <w:r>
        <w:t>reconciliation</w:t>
      </w:r>
    </w:p>
    <w:p>
      <w:pPr>
        <w:pStyle w:val="Heading3"/>
      </w:pPr>
      <w:r>
        <w:t>Upstream Dependencies / Authority</w:t>
      </w:r>
    </w:p>
    <w:p>
      <w:pPr>
        <w:pStyle w:val="ListBullet"/>
      </w:pPr>
      <w:r>
        <w:t>NCIE-001–017</w:t>
      </w:r>
    </w:p>
    <w:p>
      <w:pPr>
        <w:pStyle w:val="Heading3"/>
      </w:pPr>
      <w:r>
        <w:t>Human Review Focus</w:t>
      </w:r>
    </w:p>
    <w:p>
      <w:pPr>
        <w:pStyle w:val="ListBullet"/>
      </w:pPr>
      <w:r>
        <w:t>Confirm integration/provider operational ownership.</w:t>
      </w:r>
    </w:p>
    <w:p>
      <w:pPr>
        <w:pStyle w:val="Heading2"/>
      </w:pPr>
      <w:r>
        <w:t>Chapter 19 — Functional Module &amp; Domain Operational Ownership</w:t>
      </w:r>
    </w:p>
    <w:p>
      <w:r>
        <w:t>Chapter Purpose. Define domain-module operational ownership without transferring Finding authority.</w:t>
      </w:r>
    </w:p>
    <w:p>
      <w:pPr>
        <w:pStyle w:val="Heading3"/>
      </w:pPr>
      <w:r>
        <w:t>Salient Things to Note</w:t>
      </w:r>
    </w:p>
    <w:p>
      <w:pPr>
        <w:pStyle w:val="ListBullet"/>
      </w:pPr>
      <w:r>
        <w:t>Domain operational support cannot create/alter rules, Findings or Decisions outside governance.</w:t>
      </w:r>
    </w:p>
    <w:p>
      <w:pPr>
        <w:pStyle w:val="Heading3"/>
      </w:pPr>
      <w:r>
        <w:t>Principal Components</w:t>
      </w:r>
    </w:p>
    <w:p>
      <w:pPr>
        <w:pStyle w:val="ListBullet"/>
      </w:pPr>
      <w:r>
        <w:t>Network</w:t>
      </w:r>
    </w:p>
    <w:p>
      <w:pPr>
        <w:pStyle w:val="ListBullet"/>
      </w:pPr>
      <w:r>
        <w:t>Traffic</w:t>
      </w:r>
    </w:p>
    <w:p>
      <w:pPr>
        <w:pStyle w:val="ListBullet"/>
      </w:pPr>
      <w:r>
        <w:t>Revenue</w:t>
      </w:r>
    </w:p>
    <w:p>
      <w:pPr>
        <w:pStyle w:val="ListBullet"/>
      </w:pPr>
      <w:r>
        <w:t>Mobile Money</w:t>
      </w:r>
    </w:p>
    <w:p>
      <w:pPr>
        <w:pStyle w:val="ListBullet"/>
      </w:pPr>
      <w:r>
        <w:t>SIM</w:t>
      </w:r>
    </w:p>
    <w:p>
      <w:pPr>
        <w:pStyle w:val="ListBullet"/>
      </w:pPr>
      <w:r>
        <w:t>Anti-Fraud</w:t>
      </w:r>
    </w:p>
    <w:p>
      <w:pPr>
        <w:pStyle w:val="ListBullet"/>
      </w:pPr>
      <w:r>
        <w:t>REWS support</w:t>
      </w:r>
    </w:p>
    <w:p>
      <w:pPr>
        <w:pStyle w:val="Heading3"/>
      </w:pPr>
      <w:r>
        <w:t>Upstream Dependencies / Authority</w:t>
      </w:r>
    </w:p>
    <w:p>
      <w:pPr>
        <w:pStyle w:val="ListBullet"/>
      </w:pPr>
      <w:r>
        <w:t>NCIE-001–017</w:t>
      </w:r>
    </w:p>
    <w:p>
      <w:pPr>
        <w:pStyle w:val="Heading3"/>
      </w:pPr>
      <w:r>
        <w:t>Human Review Focus</w:t>
      </w:r>
    </w:p>
    <w:p>
      <w:pPr>
        <w:pStyle w:val="ListBullet"/>
      </w:pPr>
      <w:r>
        <w:t>Confirm Functional Module operational ownership.</w:t>
      </w:r>
    </w:p>
    <w:p>
      <w:pPr>
        <w:pStyle w:val="Heading2"/>
      </w:pPr>
      <w:r>
        <w:t>Chapter 20 — UX/UI &amp; User-Support Ownership</w:t>
      </w:r>
    </w:p>
    <w:p>
      <w:r>
        <w:t>Chapter Purpose. Define UX/design-system/user-support operational ownership.</w:t>
      </w:r>
    </w:p>
    <w:p>
      <w:pPr>
        <w:pStyle w:val="Heading3"/>
      </w:pPr>
      <w:r>
        <w:t>Salient Things to Note</w:t>
      </w:r>
    </w:p>
    <w:p>
      <w:pPr>
        <w:pStyle w:val="ListBullet"/>
      </w:pPr>
      <w:r>
        <w:t>User support/presentation ownership cannot change authorization or semantic state.</w:t>
      </w:r>
    </w:p>
    <w:p>
      <w:pPr>
        <w:pStyle w:val="Heading3"/>
      </w:pPr>
      <w:r>
        <w:t>Principal Components</w:t>
      </w:r>
    </w:p>
    <w:p>
      <w:pPr>
        <w:pStyle w:val="ListBullet"/>
      </w:pPr>
      <w:r>
        <w:t>Design system</w:t>
      </w:r>
    </w:p>
    <w:p>
      <w:pPr>
        <w:pStyle w:val="ListBullet"/>
      </w:pPr>
      <w:r>
        <w:t>frontend</w:t>
      </w:r>
    </w:p>
    <w:p>
      <w:pPr>
        <w:pStyle w:val="ListBullet"/>
      </w:pPr>
      <w:r>
        <w:t>accessibility support</w:t>
      </w:r>
    </w:p>
    <w:p>
      <w:pPr>
        <w:pStyle w:val="ListBullet"/>
      </w:pPr>
      <w:r>
        <w:t>user assistance</w:t>
      </w:r>
    </w:p>
    <w:p>
      <w:pPr>
        <w:pStyle w:val="ListBullet"/>
      </w:pPr>
      <w:r>
        <w:t>escalation</w:t>
      </w:r>
    </w:p>
    <w:p>
      <w:pPr>
        <w:pStyle w:val="Heading3"/>
      </w:pPr>
      <w:r>
        <w:t>Upstream Dependencies / Authority</w:t>
      </w:r>
    </w:p>
    <w:p>
      <w:pPr>
        <w:pStyle w:val="ListBullet"/>
      </w:pPr>
      <w:r>
        <w:t>NCIE-001–017</w:t>
      </w:r>
    </w:p>
    <w:p>
      <w:pPr>
        <w:pStyle w:val="Heading3"/>
      </w:pPr>
      <w:r>
        <w:t>Human Review Focus</w:t>
      </w:r>
    </w:p>
    <w:p>
      <w:pPr>
        <w:pStyle w:val="ListBullet"/>
      </w:pPr>
      <w:r>
        <w:t>Confirm UX/user-support ownership.</w:t>
      </w:r>
    </w:p>
    <w:p>
      <w:pPr>
        <w:pStyle w:val="Heading2"/>
      </w:pPr>
      <w:r>
        <w:t>Chapter 21 — DevSecOps, Infrastructure &amp; Deployment Ownership</w:t>
      </w:r>
    </w:p>
    <w:p>
      <w:r>
        <w:t>Chapter Purpose. Define DevSecOps/infrastructure/deployment operational ownership.</w:t>
      </w:r>
    </w:p>
    <w:p>
      <w:pPr>
        <w:pStyle w:val="Heading3"/>
      </w:pPr>
      <w:r>
        <w:t>Salient Things to Note</w:t>
      </w:r>
    </w:p>
    <w:p>
      <w:pPr>
        <w:pStyle w:val="ListBullet"/>
      </w:pPr>
      <w:r>
        <w:t>Deployment ownership cannot self-authorize releases or production acceptance.</w:t>
      </w:r>
    </w:p>
    <w:p>
      <w:pPr>
        <w:pStyle w:val="Heading3"/>
      </w:pPr>
      <w:r>
        <w:t>Principal Components</w:t>
      </w:r>
    </w:p>
    <w:p>
      <w:pPr>
        <w:pStyle w:val="ListBullet"/>
      </w:pPr>
      <w:r>
        <w:t>CI/CD</w:t>
      </w:r>
    </w:p>
    <w:p>
      <w:pPr>
        <w:pStyle w:val="ListBullet"/>
      </w:pPr>
      <w:r>
        <w:t>IaC</w:t>
      </w:r>
    </w:p>
    <w:p>
      <w:pPr>
        <w:pStyle w:val="ListBullet"/>
      </w:pPr>
      <w:r>
        <w:t>runtime</w:t>
      </w:r>
    </w:p>
    <w:p>
      <w:pPr>
        <w:pStyle w:val="ListBullet"/>
      </w:pPr>
      <w:r>
        <w:t>observability</w:t>
      </w:r>
    </w:p>
    <w:p>
      <w:pPr>
        <w:pStyle w:val="ListBullet"/>
      </w:pPr>
      <w:r>
        <w:t>deployment</w:t>
      </w:r>
    </w:p>
    <w:p>
      <w:pPr>
        <w:pStyle w:val="ListBullet"/>
      </w:pPr>
      <w:r>
        <w:t>DR</w:t>
      </w:r>
    </w:p>
    <w:p>
      <w:pPr>
        <w:pStyle w:val="ListBullet"/>
      </w:pPr>
      <w:r>
        <w:t>platform support</w:t>
      </w:r>
    </w:p>
    <w:p>
      <w:pPr>
        <w:pStyle w:val="Heading3"/>
      </w:pPr>
      <w:r>
        <w:t>Upstream Dependencies / Authority</w:t>
      </w:r>
    </w:p>
    <w:p>
      <w:pPr>
        <w:pStyle w:val="ListBullet"/>
      </w:pPr>
      <w:r>
        <w:t>NCIE-001–017</w:t>
      </w:r>
    </w:p>
    <w:p>
      <w:pPr>
        <w:pStyle w:val="Heading3"/>
      </w:pPr>
      <w:r>
        <w:t>Human Review Focus</w:t>
      </w:r>
    </w:p>
    <w:p>
      <w:pPr>
        <w:pStyle w:val="ListBullet"/>
      </w:pPr>
      <w:r>
        <w:t>Confirm DevSecOps/platform ownership.</w:t>
      </w:r>
    </w:p>
    <w:p>
      <w:pPr>
        <w:pStyle w:val="Heading2"/>
      </w:pPr>
      <w:r>
        <w:t>Chapter 22 — Testing, Verification &amp; Acceptance Handover</w:t>
      </w:r>
    </w:p>
    <w:p>
      <w:r>
        <w:t>Chapter Purpose. Define transition from NCIE-016 verification artefacts into institutional acceptance processes.</w:t>
      </w:r>
    </w:p>
    <w:p>
      <w:pPr>
        <w:pStyle w:val="Heading3"/>
      </w:pPr>
      <w:r>
        <w:t>Salient Things to Note</w:t>
      </w:r>
    </w:p>
    <w:p>
      <w:pPr>
        <w:pStyle w:val="ListBullet"/>
      </w:pPr>
      <w:r>
        <w:t>TEST PASSED ≠ PRODUCTION ACCEPTANCE; NCIE-016 evidence feeds authorized acceptance.</w:t>
      </w:r>
    </w:p>
    <w:p>
      <w:pPr>
        <w:pStyle w:val="Heading3"/>
      </w:pPr>
      <w:r>
        <w:t>Principal Components</w:t>
      </w:r>
    </w:p>
    <w:p>
      <w:pPr>
        <w:pStyle w:val="ListBullet"/>
      </w:pPr>
      <w:r>
        <w:t>RTM</w:t>
      </w:r>
    </w:p>
    <w:p>
      <w:pPr>
        <w:pStyle w:val="ListBullet"/>
      </w:pPr>
      <w:r>
        <w:t>results</w:t>
      </w:r>
    </w:p>
    <w:p>
      <w:pPr>
        <w:pStyle w:val="ListBullet"/>
      </w:pPr>
      <w:r>
        <w:t>defects</w:t>
      </w:r>
    </w:p>
    <w:p>
      <w:pPr>
        <w:pStyle w:val="ListBullet"/>
      </w:pPr>
      <w:r>
        <w:t>residual gaps</w:t>
      </w:r>
    </w:p>
    <w:p>
      <w:pPr>
        <w:pStyle w:val="ListBullet"/>
      </w:pPr>
      <w:r>
        <w:t>acceptance evidence</w:t>
      </w:r>
    </w:p>
    <w:p>
      <w:pPr>
        <w:pStyle w:val="ListBullet"/>
      </w:pPr>
      <w:r>
        <w:t>sign-off interface</w:t>
      </w:r>
    </w:p>
    <w:p>
      <w:pPr>
        <w:pStyle w:val="Heading3"/>
      </w:pPr>
      <w:r>
        <w:t>Upstream Dependencies / Authority</w:t>
      </w:r>
    </w:p>
    <w:p>
      <w:pPr>
        <w:pStyle w:val="ListBullet"/>
      </w:pPr>
      <w:r>
        <w:t>NCIE-016 v1.0</w:t>
      </w:r>
    </w:p>
    <w:p>
      <w:pPr>
        <w:pStyle w:val="Heading3"/>
      </w:pPr>
      <w:r>
        <w:t>Human Review Focus</w:t>
      </w:r>
    </w:p>
    <w:p>
      <w:pPr>
        <w:pStyle w:val="ListBullet"/>
      </w:pPr>
      <w:r>
        <w:t>Confirm acceptance/sign-off transition authority.</w:t>
      </w:r>
    </w:p>
    <w:p>
      <w:pPr>
        <w:pStyle w:val="Heading2"/>
      </w:pPr>
      <w:r>
        <w:t>Chapter 23 — Implementation Roadmap-to-Operations Transition</w:t>
      </w:r>
    </w:p>
    <w:p>
      <w:r>
        <w:t>Chapter Purpose. Define transition from NCIE-017 roadmap/build planning into sustainable operations.</w:t>
      </w:r>
    </w:p>
    <w:p>
      <w:pPr>
        <w:pStyle w:val="Heading3"/>
      </w:pPr>
      <w:r>
        <w:t>Salient Things to Note</w:t>
      </w:r>
    </w:p>
    <w:p>
      <w:pPr>
        <w:pStyle w:val="ListBullet"/>
      </w:pPr>
      <w:r>
        <w:t>ROADMAP ≠ IMPLEMENTATION; NCIE-017 planning status must be evidence-backed at transition.</w:t>
      </w:r>
    </w:p>
    <w:p>
      <w:pPr>
        <w:pStyle w:val="Heading3"/>
      </w:pPr>
      <w:r>
        <w:t>Principal Components</w:t>
      </w:r>
    </w:p>
    <w:p>
      <w:pPr>
        <w:pStyle w:val="ListBullet"/>
      </w:pPr>
      <w:r>
        <w:t>WBS</w:t>
      </w:r>
    </w:p>
    <w:p>
      <w:pPr>
        <w:pStyle w:val="ListBullet"/>
      </w:pPr>
      <w:r>
        <w:t>dependencies</w:t>
      </w:r>
    </w:p>
    <w:p>
      <w:pPr>
        <w:pStyle w:val="ListBullet"/>
      </w:pPr>
      <w:r>
        <w:t>work status</w:t>
      </w:r>
    </w:p>
    <w:p>
      <w:pPr>
        <w:pStyle w:val="ListBullet"/>
      </w:pPr>
      <w:r>
        <w:t>blockers</w:t>
      </w:r>
    </w:p>
    <w:p>
      <w:pPr>
        <w:pStyle w:val="ListBullet"/>
      </w:pPr>
      <w:r>
        <w:t>implementation evidence</w:t>
      </w:r>
    </w:p>
    <w:p>
      <w:pPr>
        <w:pStyle w:val="ListBullet"/>
      </w:pPr>
      <w:r>
        <w:t>transition</w:t>
      </w:r>
    </w:p>
    <w:p>
      <w:pPr>
        <w:pStyle w:val="Heading3"/>
      </w:pPr>
      <w:r>
        <w:t>Upstream Dependencies / Authority</w:t>
      </w:r>
    </w:p>
    <w:p>
      <w:pPr>
        <w:pStyle w:val="ListBullet"/>
      </w:pPr>
      <w:r>
        <w:t>NCIE-017 v1.0; NCIE-002 Ch.32</w:t>
      </w:r>
    </w:p>
    <w:p>
      <w:pPr>
        <w:pStyle w:val="Heading3"/>
      </w:pPr>
      <w:r>
        <w:t>Human Review Focus</w:t>
      </w:r>
    </w:p>
    <w:p>
      <w:pPr>
        <w:pStyle w:val="ListBullet"/>
      </w:pPr>
      <w:r>
        <w:t>Confirm roadmap-to-operations transition authority.</w:t>
      </w:r>
    </w:p>
    <w:p>
      <w:pPr>
        <w:pStyle w:val="Heading2"/>
      </w:pPr>
      <w:r>
        <w:t>Chapter 24 — Knowledge Transfer &amp; Documentation Handover</w:t>
      </w:r>
    </w:p>
    <w:p>
      <w:r>
        <w:t>Chapter Purpose. Define controlled knowledge/documentation transfer.</w:t>
      </w:r>
    </w:p>
    <w:p>
      <w:pPr>
        <w:pStyle w:val="Heading3"/>
      </w:pPr>
      <w:r>
        <w:t>Salient Things to Note</w:t>
      </w:r>
    </w:p>
    <w:p>
      <w:pPr>
        <w:pStyle w:val="ListBullet"/>
      </w:pPr>
      <w:r>
        <w:t>KNOWLEDGE TRANSFER ≠ CREDENTIAL TRANSFER; HANDOVER PACKAGE ≠ SECRET TRANSFER.</w:t>
      </w:r>
    </w:p>
    <w:p>
      <w:pPr>
        <w:pStyle w:val="Heading3"/>
      </w:pPr>
      <w:r>
        <w:t>Principal Components</w:t>
      </w:r>
    </w:p>
    <w:p>
      <w:pPr>
        <w:pStyle w:val="ListBullet"/>
      </w:pPr>
      <w:r>
        <w:t>Documentation inventory</w:t>
      </w:r>
    </w:p>
    <w:p>
      <w:pPr>
        <w:pStyle w:val="ListBullet"/>
      </w:pPr>
      <w:r>
        <w:t>runbooks</w:t>
      </w:r>
    </w:p>
    <w:p>
      <w:pPr>
        <w:pStyle w:val="ListBullet"/>
      </w:pPr>
      <w:r>
        <w:t>architecture</w:t>
      </w:r>
    </w:p>
    <w:p>
      <w:pPr>
        <w:pStyle w:val="ListBullet"/>
      </w:pPr>
      <w:r>
        <w:t>support docs</w:t>
      </w:r>
    </w:p>
    <w:p>
      <w:pPr>
        <w:pStyle w:val="ListBullet"/>
      </w:pPr>
      <w:r>
        <w:t>KT sessions</w:t>
      </w:r>
    </w:p>
    <w:p>
      <w:pPr>
        <w:pStyle w:val="ListBullet"/>
      </w:pPr>
      <w:r>
        <w:t>gaps</w:t>
      </w:r>
    </w:p>
    <w:p>
      <w:pPr>
        <w:pStyle w:val="Heading3"/>
      </w:pPr>
      <w:r>
        <w:t>Upstream Dependencies / Authority</w:t>
      </w:r>
    </w:p>
    <w:p>
      <w:pPr>
        <w:pStyle w:val="ListBullet"/>
      </w:pPr>
      <w:r>
        <w:t>NCIE-001–017</w:t>
      </w:r>
    </w:p>
    <w:p>
      <w:pPr>
        <w:pStyle w:val="Heading3"/>
      </w:pPr>
      <w:r>
        <w:t>Human Review Focus</w:t>
      </w:r>
    </w:p>
    <w:p>
      <w:pPr>
        <w:pStyle w:val="ListBullet"/>
      </w:pPr>
      <w:r>
        <w:t>Confirm knowledge-transfer completion authority.</w:t>
      </w:r>
    </w:p>
    <w:p>
      <w:pPr>
        <w:pStyle w:val="Heading2"/>
      </w:pPr>
      <w:r>
        <w:t>Chapter 25 — Training, Enablement &amp; Operational Qualification</w:t>
      </w:r>
    </w:p>
    <w:p>
      <w:r>
        <w:t>Chapter Purpose. Define training/enablement and operational qualification requirements.</w:t>
      </w:r>
    </w:p>
    <w:p>
      <w:pPr>
        <w:pStyle w:val="Heading3"/>
      </w:pPr>
      <w:r>
        <w:t>Salient Things to Note</w:t>
      </w:r>
    </w:p>
    <w:p>
      <w:pPr>
        <w:pStyle w:val="ListBullet"/>
      </w:pPr>
      <w:r>
        <w:t>TRAINING COMPLETED ≠ OPERATIONAL AUTHORIZATION; qualification evidence and access remain distinct.</w:t>
      </w:r>
    </w:p>
    <w:p>
      <w:pPr>
        <w:pStyle w:val="Heading3"/>
      </w:pPr>
      <w:r>
        <w:t>Principal Components</w:t>
      </w:r>
    </w:p>
    <w:p>
      <w:pPr>
        <w:pStyle w:val="ListBullet"/>
      </w:pPr>
      <w:r>
        <w:t>Training plan</w:t>
      </w:r>
    </w:p>
    <w:p>
      <w:pPr>
        <w:pStyle w:val="ListBullet"/>
      </w:pPr>
      <w:r>
        <w:t>role curriculum</w:t>
      </w:r>
    </w:p>
    <w:p>
      <w:pPr>
        <w:pStyle w:val="ListBullet"/>
      </w:pPr>
      <w:r>
        <w:t>exercises</w:t>
      </w:r>
    </w:p>
    <w:p>
      <w:pPr>
        <w:pStyle w:val="ListBullet"/>
      </w:pPr>
      <w:r>
        <w:t>assessment</w:t>
      </w:r>
    </w:p>
    <w:p>
      <w:pPr>
        <w:pStyle w:val="ListBullet"/>
      </w:pPr>
      <w:r>
        <w:t>qualification</w:t>
      </w:r>
    </w:p>
    <w:p>
      <w:pPr>
        <w:pStyle w:val="ListBullet"/>
      </w:pPr>
      <w:r>
        <w:t>records</w:t>
      </w:r>
    </w:p>
    <w:p>
      <w:pPr>
        <w:pStyle w:val="Heading3"/>
      </w:pPr>
      <w:r>
        <w:t>Upstream Dependencies / Authority</w:t>
      </w:r>
    </w:p>
    <w:p>
      <w:pPr>
        <w:pStyle w:val="ListBullet"/>
      </w:pPr>
      <w:r>
        <w:t>NCIE-001–017</w:t>
      </w:r>
    </w:p>
    <w:p>
      <w:pPr>
        <w:pStyle w:val="Heading3"/>
      </w:pPr>
      <w:r>
        <w:t>Human Review Focus</w:t>
      </w:r>
    </w:p>
    <w:p>
      <w:pPr>
        <w:pStyle w:val="ListBullet"/>
      </w:pPr>
      <w:r>
        <w:t>Confirm training/qualification authority.</w:t>
      </w:r>
    </w:p>
    <w:p>
      <w:pPr>
        <w:pStyle w:val="Heading2"/>
      </w:pPr>
      <w:r>
        <w:t>Chapter 26 — Access Provisioning &amp; Credential-Separation Governance</w:t>
      </w:r>
    </w:p>
    <w:p>
      <w:r>
        <w:t>Chapter Purpose. Define access-provisioning transition without credential transfer in documentation.</w:t>
      </w:r>
    </w:p>
    <w:p>
      <w:pPr>
        <w:pStyle w:val="Heading3"/>
      </w:pPr>
      <w:r>
        <w:t>Salient Things to Note</w:t>
      </w:r>
    </w:p>
    <w:p>
      <w:pPr>
        <w:pStyle w:val="ListBullet"/>
      </w:pPr>
      <w:r>
        <w:t>ACCESS REQUESTED ≠ ACCESS AUTHORIZED; credentials are provisioned separately through security controls.</w:t>
      </w:r>
    </w:p>
    <w:p>
      <w:pPr>
        <w:pStyle w:val="Heading3"/>
      </w:pPr>
      <w:r>
        <w:t>Principal Components</w:t>
      </w:r>
    </w:p>
    <w:p>
      <w:pPr>
        <w:pStyle w:val="ListBullet"/>
      </w:pPr>
      <w:r>
        <w:t>Identity</w:t>
      </w:r>
    </w:p>
    <w:p>
      <w:pPr>
        <w:pStyle w:val="ListBullet"/>
      </w:pPr>
      <w:r>
        <w:t>access request</w:t>
      </w:r>
    </w:p>
    <w:p>
      <w:pPr>
        <w:pStyle w:val="ListBullet"/>
      </w:pPr>
      <w:r>
        <w:t>approval</w:t>
      </w:r>
    </w:p>
    <w:p>
      <w:pPr>
        <w:pStyle w:val="ListBullet"/>
      </w:pPr>
      <w:r>
        <w:t>provisioning</w:t>
      </w:r>
    </w:p>
    <w:p>
      <w:pPr>
        <w:pStyle w:val="ListBullet"/>
      </w:pPr>
      <w:r>
        <w:t>review</w:t>
      </w:r>
    </w:p>
    <w:p>
      <w:pPr>
        <w:pStyle w:val="ListBullet"/>
      </w:pPr>
      <w:r>
        <w:t>revocation</w:t>
      </w:r>
    </w:p>
    <w:p>
      <w:pPr>
        <w:pStyle w:val="ListBullet"/>
      </w:pPr>
      <w:r>
        <w:t>secret exclusion</w:t>
      </w:r>
    </w:p>
    <w:p>
      <w:pPr>
        <w:pStyle w:val="Heading3"/>
      </w:pPr>
      <w:r>
        <w:t>Upstream Dependencies / Authority</w:t>
      </w:r>
    </w:p>
    <w:p>
      <w:pPr>
        <w:pStyle w:val="ListBullet"/>
      </w:pPr>
      <w:r>
        <w:t>NCIE-001–017</w:t>
      </w:r>
    </w:p>
    <w:p>
      <w:pPr>
        <w:pStyle w:val="Heading3"/>
      </w:pPr>
      <w:r>
        <w:t>Human Review Focus</w:t>
      </w:r>
    </w:p>
    <w:p>
      <w:pPr>
        <w:pStyle w:val="ListBullet"/>
      </w:pPr>
      <w:r>
        <w:t>Confirm access-provisioning authority and separation.</w:t>
      </w:r>
    </w:p>
    <w:p>
      <w:pPr>
        <w:pStyle w:val="Heading2"/>
      </w:pPr>
      <w:r>
        <w:t>Chapter 27 — On-Call, Escalation &amp; Duty-Coverage Governance</w:t>
      </w:r>
    </w:p>
    <w:p>
      <w:r>
        <w:t>Chapter Purpose. Define on-call/escalation/duty-coverage requirements.</w:t>
      </w:r>
    </w:p>
    <w:p>
      <w:pPr>
        <w:pStyle w:val="Heading3"/>
      </w:pPr>
      <w:r>
        <w:t>Salient Things to Note</w:t>
      </w:r>
    </w:p>
    <w:p>
      <w:pPr>
        <w:pStyle w:val="ListBullet"/>
      </w:pPr>
      <w:r>
        <w:t>ON-CALL ROSTER DEFINED ≠ PERSON AVAILABLE; duty coverage must be confirmed institutionally.</w:t>
      </w:r>
    </w:p>
    <w:p>
      <w:pPr>
        <w:pStyle w:val="Heading3"/>
      </w:pPr>
      <w:r>
        <w:t>Principal Components</w:t>
      </w:r>
    </w:p>
    <w:p>
      <w:pPr>
        <w:pStyle w:val="ListBullet"/>
      </w:pPr>
      <w:r>
        <w:t>Coverage model</w:t>
      </w:r>
    </w:p>
    <w:p>
      <w:pPr>
        <w:pStyle w:val="ListBullet"/>
      </w:pPr>
      <w:r>
        <w:t>rota requirements</w:t>
      </w:r>
    </w:p>
    <w:p>
      <w:pPr>
        <w:pStyle w:val="ListBullet"/>
      </w:pPr>
      <w:r>
        <w:t>escalation tiers</w:t>
      </w:r>
    </w:p>
    <w:p>
      <w:pPr>
        <w:pStyle w:val="ListBullet"/>
      </w:pPr>
      <w:r>
        <w:t>handoff</w:t>
      </w:r>
    </w:p>
    <w:p>
      <w:pPr>
        <w:pStyle w:val="ListBullet"/>
      </w:pPr>
      <w:r>
        <w:t>fatigue/risk interface</w:t>
      </w:r>
    </w:p>
    <w:p>
      <w:pPr>
        <w:pStyle w:val="Heading3"/>
      </w:pPr>
      <w:r>
        <w:t>Upstream Dependencies / Authority</w:t>
      </w:r>
    </w:p>
    <w:p>
      <w:pPr>
        <w:pStyle w:val="ListBullet"/>
      </w:pPr>
      <w:r>
        <w:t>NCIE-001–017</w:t>
      </w:r>
    </w:p>
    <w:p>
      <w:pPr>
        <w:pStyle w:val="Heading3"/>
      </w:pPr>
      <w:r>
        <w:t>Human Review Focus</w:t>
      </w:r>
    </w:p>
    <w:p>
      <w:pPr>
        <w:pStyle w:val="ListBullet"/>
      </w:pPr>
      <w:r>
        <w:t>Confirm on-call/duty-coverage model.</w:t>
      </w:r>
    </w:p>
    <w:p>
      <w:pPr>
        <w:pStyle w:val="Heading2"/>
      </w:pPr>
      <w:r>
        <w:t>Chapter 28 — Incident, Problem &amp; Emergency-Authority Handover</w:t>
      </w:r>
    </w:p>
    <w:p>
      <w:r>
        <w:t>Chapter Purpose. Define incident/problem/emergency operational-authority transition.</w:t>
      </w:r>
    </w:p>
    <w:p>
      <w:pPr>
        <w:pStyle w:val="Heading3"/>
      </w:pPr>
      <w:r>
        <w:t>Salient Things to Note</w:t>
      </w:r>
    </w:p>
    <w:p>
      <w:pPr>
        <w:pStyle w:val="ListBullet"/>
      </w:pPr>
      <w:r>
        <w:t>Incident command/emergency roles do not create permanent policy-exception authority.</w:t>
      </w:r>
    </w:p>
    <w:p>
      <w:pPr>
        <w:pStyle w:val="Heading3"/>
      </w:pPr>
      <w:r>
        <w:t>Principal Components</w:t>
      </w:r>
    </w:p>
    <w:p>
      <w:pPr>
        <w:pStyle w:val="ListBullet"/>
      </w:pPr>
      <w:r>
        <w:t>Incident roles</w:t>
      </w:r>
    </w:p>
    <w:p>
      <w:pPr>
        <w:pStyle w:val="ListBullet"/>
      </w:pPr>
      <w:r>
        <w:t>problem ownership</w:t>
      </w:r>
    </w:p>
    <w:p>
      <w:pPr>
        <w:pStyle w:val="ListBullet"/>
      </w:pPr>
      <w:r>
        <w:t>emergency authority</w:t>
      </w:r>
    </w:p>
    <w:p>
      <w:pPr>
        <w:pStyle w:val="ListBullet"/>
      </w:pPr>
      <w:r>
        <w:t>post-review</w:t>
      </w:r>
    </w:p>
    <w:p>
      <w:pPr>
        <w:pStyle w:val="ListBullet"/>
      </w:pPr>
      <w:r>
        <w:t>evidence</w:t>
      </w:r>
    </w:p>
    <w:p>
      <w:pPr>
        <w:pStyle w:val="Heading3"/>
      </w:pPr>
      <w:r>
        <w:t>Upstream Dependencies / Authority</w:t>
      </w:r>
    </w:p>
    <w:p>
      <w:pPr>
        <w:pStyle w:val="ListBullet"/>
      </w:pPr>
      <w:r>
        <w:t>NCIE-001–017</w:t>
      </w:r>
    </w:p>
    <w:p>
      <w:pPr>
        <w:pStyle w:val="Heading3"/>
      </w:pPr>
      <w:r>
        <w:t>Human Review Focus</w:t>
      </w:r>
    </w:p>
    <w:p>
      <w:pPr>
        <w:pStyle w:val="ListBullet"/>
      </w:pPr>
      <w:r>
        <w:t>Confirm incident/emergency operational authority.</w:t>
      </w:r>
    </w:p>
    <w:p>
      <w:pPr>
        <w:pStyle w:val="Heading2"/>
      </w:pPr>
      <w:r>
        <w:t>Chapter 29 — Change, Release &amp; Configuration Governance Handover</w:t>
      </w:r>
    </w:p>
    <w:p>
      <w:r>
        <w:t>Chapter Purpose. Define ownership of change/release/configuration governance after handover.</w:t>
      </w:r>
    </w:p>
    <w:p>
      <w:pPr>
        <w:pStyle w:val="Heading3"/>
      </w:pPr>
      <w:r>
        <w:t>Salient Things to Note</w:t>
      </w:r>
    </w:p>
    <w:p>
      <w:pPr>
        <w:pStyle w:val="ListBullet"/>
      </w:pPr>
      <w:r>
        <w:t>Operational change ownership cannot silently alter approved architecture/governance.</w:t>
      </w:r>
    </w:p>
    <w:p>
      <w:pPr>
        <w:pStyle w:val="Heading3"/>
      </w:pPr>
      <w:r>
        <w:t>Principal Components</w:t>
      </w:r>
    </w:p>
    <w:p>
      <w:pPr>
        <w:pStyle w:val="ListBullet"/>
      </w:pPr>
      <w:r>
        <w:t>Change roles</w:t>
      </w:r>
    </w:p>
    <w:p>
      <w:pPr>
        <w:pStyle w:val="ListBullet"/>
      </w:pPr>
      <w:r>
        <w:t>release roles</w:t>
      </w:r>
    </w:p>
    <w:p>
      <w:pPr>
        <w:pStyle w:val="ListBullet"/>
      </w:pPr>
      <w:r>
        <w:t>config ownership</w:t>
      </w:r>
    </w:p>
    <w:p>
      <w:pPr>
        <w:pStyle w:val="ListBullet"/>
      </w:pPr>
      <w:r>
        <w:t>CAB/governance interface</w:t>
      </w:r>
    </w:p>
    <w:p>
      <w:pPr>
        <w:pStyle w:val="ListBullet"/>
      </w:pPr>
      <w:r>
        <w:t>audit</w:t>
      </w:r>
    </w:p>
    <w:p>
      <w:pPr>
        <w:pStyle w:val="Heading3"/>
      </w:pPr>
      <w:r>
        <w:t>Upstream Dependencies / Authority</w:t>
      </w:r>
    </w:p>
    <w:p>
      <w:pPr>
        <w:pStyle w:val="ListBullet"/>
      </w:pPr>
      <w:r>
        <w:t>NCIE-001–017</w:t>
      </w:r>
    </w:p>
    <w:p>
      <w:pPr>
        <w:pStyle w:val="Heading3"/>
      </w:pPr>
      <w:r>
        <w:t>Human Review Focus</w:t>
      </w:r>
    </w:p>
    <w:p>
      <w:pPr>
        <w:pStyle w:val="ListBullet"/>
      </w:pPr>
      <w:r>
        <w:t>Confirm change/release/configuration ownership.</w:t>
      </w:r>
    </w:p>
    <w:p>
      <w:pPr>
        <w:pStyle w:val="Heading2"/>
      </w:pPr>
      <w:r>
        <w:t>Chapter 30 — Vendor, Provider &amp; External-Support Governance</w:t>
      </w:r>
    </w:p>
    <w:p>
      <w:r>
        <w:t>Chapter Purpose. Define vendor/provider/external-support governance and accountability.</w:t>
      </w:r>
    </w:p>
    <w:p>
      <w:pPr>
        <w:pStyle w:val="Heading3"/>
      </w:pPr>
      <w:r>
        <w:t>Salient Things to Note</w:t>
      </w:r>
    </w:p>
    <w:p>
      <w:pPr>
        <w:pStyle w:val="ListBullet"/>
      </w:pPr>
      <w:r>
        <w:t>Vendor/provider support does not transfer institutional accountability.</w:t>
      </w:r>
    </w:p>
    <w:p>
      <w:pPr>
        <w:pStyle w:val="Heading3"/>
      </w:pPr>
      <w:r>
        <w:t>Principal Components</w:t>
      </w:r>
    </w:p>
    <w:p>
      <w:pPr>
        <w:pStyle w:val="ListBullet"/>
      </w:pPr>
      <w:r>
        <w:t>Provider owner</w:t>
      </w:r>
    </w:p>
    <w:p>
      <w:pPr>
        <w:pStyle w:val="ListBullet"/>
      </w:pPr>
      <w:r>
        <w:t>contract/support interface</w:t>
      </w:r>
    </w:p>
    <w:p>
      <w:pPr>
        <w:pStyle w:val="ListBullet"/>
      </w:pPr>
      <w:r>
        <w:t>escalation</w:t>
      </w:r>
    </w:p>
    <w:p>
      <w:pPr>
        <w:pStyle w:val="ListBullet"/>
      </w:pPr>
      <w:r>
        <w:t>exit/substitution</w:t>
      </w:r>
    </w:p>
    <w:p>
      <w:pPr>
        <w:pStyle w:val="ListBullet"/>
      </w:pPr>
      <w:r>
        <w:t>accountability</w:t>
      </w:r>
    </w:p>
    <w:p>
      <w:pPr>
        <w:pStyle w:val="Heading3"/>
      </w:pPr>
      <w:r>
        <w:t>Upstream Dependencies / Authority</w:t>
      </w:r>
    </w:p>
    <w:p>
      <w:pPr>
        <w:pStyle w:val="ListBullet"/>
      </w:pPr>
      <w:r>
        <w:t>NCIE-001–017</w:t>
      </w:r>
    </w:p>
    <w:p>
      <w:pPr>
        <w:pStyle w:val="Heading3"/>
      </w:pPr>
      <w:r>
        <w:t>Human Review Focus</w:t>
      </w:r>
    </w:p>
    <w:p>
      <w:pPr>
        <w:pStyle w:val="ListBullet"/>
      </w:pPr>
      <w:r>
        <w:t>Confirm vendor/provider support governance.</w:t>
      </w:r>
    </w:p>
    <w:p>
      <w:pPr>
        <w:pStyle w:val="Heading2"/>
      </w:pPr>
      <w:r>
        <w:t>Chapter 31 — Operational Service Catalogue &amp; Support Model</w:t>
      </w:r>
    </w:p>
    <w:p>
      <w:r>
        <w:t>Chapter Purpose. Define operational service catalogue and support interfaces.</w:t>
      </w:r>
    </w:p>
    <w:p>
      <w:pPr>
        <w:pStyle w:val="Heading3"/>
      </w:pPr>
      <w:r>
        <w:t>Salient Things to Note</w:t>
      </w:r>
    </w:p>
    <w:p>
      <w:pPr>
        <w:pStyle w:val="ListBullet"/>
      </w:pPr>
      <w:r>
        <w:t>Service catalogue entries define support interfaces, not institutional authority.</w:t>
      </w:r>
    </w:p>
    <w:p>
      <w:pPr>
        <w:pStyle w:val="Heading3"/>
      </w:pPr>
      <w:r>
        <w:t>Principal Components</w:t>
      </w:r>
    </w:p>
    <w:p>
      <w:pPr>
        <w:pStyle w:val="ListBullet"/>
      </w:pPr>
      <w:r>
        <w:t>Service</w:t>
      </w:r>
    </w:p>
    <w:p>
      <w:pPr>
        <w:pStyle w:val="ListBullet"/>
      </w:pPr>
      <w:r>
        <w:t>consumer</w:t>
      </w:r>
    </w:p>
    <w:p>
      <w:pPr>
        <w:pStyle w:val="ListBullet"/>
      </w:pPr>
      <w:r>
        <w:t>support hours concept</w:t>
      </w:r>
    </w:p>
    <w:p>
      <w:pPr>
        <w:pStyle w:val="ListBullet"/>
      </w:pPr>
      <w:r>
        <w:t>request/incident path</w:t>
      </w:r>
    </w:p>
    <w:p>
      <w:pPr>
        <w:pStyle w:val="ListBullet"/>
      </w:pPr>
      <w:r>
        <w:t>escalation</w:t>
      </w:r>
    </w:p>
    <w:p>
      <w:pPr>
        <w:pStyle w:val="ListBullet"/>
      </w:pPr>
      <w:r>
        <w:t>dependency</w:t>
      </w:r>
    </w:p>
    <w:p>
      <w:pPr>
        <w:pStyle w:val="Heading3"/>
      </w:pPr>
      <w:r>
        <w:t>Upstream Dependencies / Authority</w:t>
      </w:r>
    </w:p>
    <w:p>
      <w:pPr>
        <w:pStyle w:val="ListBullet"/>
      </w:pPr>
      <w:r>
        <w:t>NCIE-001–017</w:t>
      </w:r>
    </w:p>
    <w:p>
      <w:pPr>
        <w:pStyle w:val="Heading3"/>
      </w:pPr>
      <w:r>
        <w:t>Human Review Focus</w:t>
      </w:r>
    </w:p>
    <w:p>
      <w:pPr>
        <w:pStyle w:val="ListBullet"/>
      </w:pPr>
      <w:r>
        <w:t>Confirm service catalogue/support model.</w:t>
      </w:r>
    </w:p>
    <w:p>
      <w:pPr>
        <w:pStyle w:val="Heading2"/>
      </w:pPr>
      <w:r>
        <w:t>Chapter 32 — Operational Readiness Assessment</w:t>
      </w:r>
    </w:p>
    <w:p>
      <w:r>
        <w:t>Chapter Purpose. Define evidence-based readiness assessment without self-authorizing go-live.</w:t>
      </w:r>
    </w:p>
    <w:p>
      <w:pPr>
        <w:pStyle w:val="Heading3"/>
      </w:pPr>
      <w:r>
        <w:t>Salient Things to Note</w:t>
      </w:r>
    </w:p>
    <w:p>
      <w:pPr>
        <w:pStyle w:val="ListBullet"/>
      </w:pPr>
      <w:r>
        <w:t>READINESS CHECKLIST COMPLETE ≠ PRODUCTION ACCEPTANCE; GO-LIVE RECOMMENDATION ≠ GO-LIVE AUTHORIZATION.</w:t>
      </w:r>
    </w:p>
    <w:p>
      <w:pPr>
        <w:pStyle w:val="Heading3"/>
      </w:pPr>
      <w:r>
        <w:t>Principal Components</w:t>
      </w:r>
    </w:p>
    <w:p>
      <w:pPr>
        <w:pStyle w:val="ListBullet"/>
      </w:pPr>
      <w:r>
        <w:t>Readiness domain</w:t>
      </w:r>
    </w:p>
    <w:p>
      <w:pPr>
        <w:pStyle w:val="ListBullet"/>
      </w:pPr>
      <w:r>
        <w:t>evidence</w:t>
      </w:r>
    </w:p>
    <w:p>
      <w:pPr>
        <w:pStyle w:val="ListBullet"/>
      </w:pPr>
      <w:r>
        <w:t>blocker</w:t>
      </w:r>
    </w:p>
    <w:p>
      <w:pPr>
        <w:pStyle w:val="ListBullet"/>
      </w:pPr>
      <w:r>
        <w:t>owner authority</w:t>
      </w:r>
    </w:p>
    <w:p>
      <w:pPr>
        <w:pStyle w:val="ListBullet"/>
      </w:pPr>
      <w:r>
        <w:t>assessment</w:t>
      </w:r>
    </w:p>
    <w:p>
      <w:pPr>
        <w:pStyle w:val="ListBullet"/>
      </w:pPr>
      <w:r>
        <w:t>recommendation</w:t>
      </w:r>
    </w:p>
    <w:p>
      <w:pPr>
        <w:pStyle w:val="Heading3"/>
      </w:pPr>
      <w:r>
        <w:t>Upstream Dependencies / Authority</w:t>
      </w:r>
    </w:p>
    <w:p>
      <w:pPr>
        <w:pStyle w:val="ListBullet"/>
      </w:pPr>
      <w:r>
        <w:t>NCIE-001–017</w:t>
      </w:r>
    </w:p>
    <w:p>
      <w:pPr>
        <w:pStyle w:val="Heading3"/>
      </w:pPr>
      <w:r>
        <w:t>Human Review Focus</w:t>
      </w:r>
    </w:p>
    <w:p>
      <w:pPr>
        <w:pStyle w:val="ListBullet"/>
      </w:pPr>
      <w:r>
        <w:t>Confirm readiness assessment and recommendation authority.</w:t>
      </w:r>
    </w:p>
    <w:p>
      <w:pPr>
        <w:pStyle w:val="Heading2"/>
      </w:pPr>
      <w:r>
        <w:t>Chapter 33 — Residual Risk, Known Limitations &amp; Open-Issue Transfer</w:t>
      </w:r>
    </w:p>
    <w:p>
      <w:r>
        <w:t>Chapter Purpose. Define transfer of residual risks, limitations, blockers and unresolved issues.</w:t>
      </w:r>
    </w:p>
    <w:p>
      <w:pPr>
        <w:pStyle w:val="Heading3"/>
      </w:pPr>
      <w:r>
        <w:t>Salient Things to Note</w:t>
      </w:r>
    </w:p>
    <w:p>
      <w:pPr>
        <w:pStyle w:val="ListBullet"/>
      </w:pPr>
      <w:r>
        <w:t>RESIDUAL RISK RECORDED ≠ RISK ACCEPTED; ISSUE TRANSFERRED ≠ ISSUE RESOLVED.</w:t>
      </w:r>
    </w:p>
    <w:p>
      <w:pPr>
        <w:pStyle w:val="Heading3"/>
      </w:pPr>
      <w:r>
        <w:t>Principal Components</w:t>
      </w:r>
    </w:p>
    <w:p>
      <w:pPr>
        <w:pStyle w:val="ListBullet"/>
      </w:pPr>
      <w:r>
        <w:t>Risk</w:t>
      </w:r>
    </w:p>
    <w:p>
      <w:pPr>
        <w:pStyle w:val="ListBullet"/>
      </w:pPr>
      <w:r>
        <w:t>limitation</w:t>
      </w:r>
    </w:p>
    <w:p>
      <w:pPr>
        <w:pStyle w:val="ListBullet"/>
      </w:pPr>
      <w:r>
        <w:t>issue</w:t>
      </w:r>
    </w:p>
    <w:p>
      <w:pPr>
        <w:pStyle w:val="ListBullet"/>
      </w:pPr>
      <w:r>
        <w:t>HR blocker</w:t>
      </w:r>
    </w:p>
    <w:p>
      <w:pPr>
        <w:pStyle w:val="ListBullet"/>
      </w:pPr>
      <w:r>
        <w:t>owner authority</w:t>
      </w:r>
    </w:p>
    <w:p>
      <w:pPr>
        <w:pStyle w:val="ListBullet"/>
      </w:pPr>
      <w:r>
        <w:t>mitigation</w:t>
      </w:r>
    </w:p>
    <w:p>
      <w:pPr>
        <w:pStyle w:val="ListBullet"/>
      </w:pPr>
      <w:r>
        <w:t>target</w:t>
      </w:r>
    </w:p>
    <w:p>
      <w:pPr>
        <w:pStyle w:val="ListBullet"/>
      </w:pPr>
      <w:r>
        <w:t>status</w:t>
      </w:r>
    </w:p>
    <w:p>
      <w:pPr>
        <w:pStyle w:val="Heading3"/>
      </w:pPr>
      <w:r>
        <w:t>Upstream Dependencies / Authority</w:t>
      </w:r>
    </w:p>
    <w:p>
      <w:pPr>
        <w:pStyle w:val="ListBullet"/>
      </w:pPr>
      <w:r>
        <w:t>NCIE-001–017</w:t>
      </w:r>
    </w:p>
    <w:p>
      <w:pPr>
        <w:pStyle w:val="Heading3"/>
      </w:pPr>
      <w:r>
        <w:t>Human Review Focus</w:t>
      </w:r>
    </w:p>
    <w:p>
      <w:pPr>
        <w:pStyle w:val="ListBullet"/>
      </w:pPr>
      <w:r>
        <w:t>Confirm residual-risk/open-issue transfer and acceptance authority.</w:t>
      </w:r>
    </w:p>
    <w:p>
      <w:pPr>
        <w:pStyle w:val="Heading2"/>
      </w:pPr>
      <w:r>
        <w:t>Chapter 34 — Post-Handover Assurance &amp; Governance Review</w:t>
      </w:r>
    </w:p>
    <w:p>
      <w:r>
        <w:t>Chapter Purpose. Define post-handover review, assurance and governance feedback.</w:t>
      </w:r>
    </w:p>
    <w:p>
      <w:pPr>
        <w:pStyle w:val="Heading3"/>
      </w:pPr>
      <w:r>
        <w:t>Salient Things to Note</w:t>
      </w:r>
    </w:p>
    <w:p>
      <w:pPr>
        <w:pStyle w:val="ListBullet"/>
      </w:pPr>
      <w:r>
        <w:t>POST-HANDOVER OPERATION ≠ ARCHITECTURE CHANGE AUTHORITY; material changes return to governance.</w:t>
      </w:r>
    </w:p>
    <w:p>
      <w:pPr>
        <w:pStyle w:val="Heading3"/>
      </w:pPr>
      <w:r>
        <w:t>Principal Components</w:t>
      </w:r>
    </w:p>
    <w:p>
      <w:pPr>
        <w:pStyle w:val="ListBullet"/>
      </w:pPr>
      <w:r>
        <w:t>Review cadence concept</w:t>
      </w:r>
    </w:p>
    <w:p>
      <w:pPr>
        <w:pStyle w:val="ListBullet"/>
      </w:pPr>
      <w:r>
        <w:t>assurance evidence</w:t>
      </w:r>
    </w:p>
    <w:p>
      <w:pPr>
        <w:pStyle w:val="ListBullet"/>
      </w:pPr>
      <w:r>
        <w:t>lessons</w:t>
      </w:r>
    </w:p>
    <w:p>
      <w:pPr>
        <w:pStyle w:val="ListBullet"/>
      </w:pPr>
      <w:r>
        <w:t>change trigger</w:t>
      </w:r>
    </w:p>
    <w:p>
      <w:pPr>
        <w:pStyle w:val="ListBullet"/>
      </w:pPr>
      <w:r>
        <w:t>governance feedback</w:t>
      </w:r>
    </w:p>
    <w:p>
      <w:pPr>
        <w:pStyle w:val="Heading3"/>
      </w:pPr>
      <w:r>
        <w:t>Upstream Dependencies / Authority</w:t>
      </w:r>
    </w:p>
    <w:p>
      <w:pPr>
        <w:pStyle w:val="ListBullet"/>
      </w:pPr>
      <w:r>
        <w:t>NCIE-001–017</w:t>
      </w:r>
    </w:p>
    <w:p>
      <w:pPr>
        <w:pStyle w:val="Heading3"/>
      </w:pPr>
      <w:r>
        <w:t>Human Review Focus</w:t>
      </w:r>
    </w:p>
    <w:p>
      <w:pPr>
        <w:pStyle w:val="ListBullet"/>
      </w:pPr>
      <w:r>
        <w:t>Confirm post-handover assurance/review authority.</w:t>
      </w:r>
    </w:p>
    <w:p>
      <w:pPr>
        <w:pStyle w:val="Heading2"/>
      </w:pPr>
      <w:r>
        <w:t>Chapter 35 — Human Review Register &amp; Open Handover Decisions</w:t>
      </w:r>
    </w:p>
    <w:p>
      <w:r>
        <w:t>Chapter Purpose. Consolidate unresolved NCIE-018 organizational/handover decisions.</w:t>
      </w:r>
    </w:p>
    <w:p>
      <w:pPr>
        <w:pStyle w:val="Heading3"/>
      </w:pPr>
      <w:r>
        <w:t>Salient Things to Note</w:t>
      </w:r>
    </w:p>
    <w:p>
      <w:pPr>
        <w:pStyle w:val="ListBullet"/>
      </w:pPr>
      <w:r>
        <w:t>Deduplicate HR1–HR17 dependencies; create HR18 only for distinct organizational/handover decisions.</w:t>
      </w:r>
    </w:p>
    <w:p>
      <w:pPr>
        <w:pStyle w:val="Heading3"/>
      </w:pPr>
      <w:r>
        <w:t>Principal Components</w:t>
      </w:r>
    </w:p>
    <w:p>
      <w:pPr>
        <w:pStyle w:val="ListBullet"/>
      </w:pPr>
      <w:r>
        <w:t>Review ID</w:t>
      </w:r>
    </w:p>
    <w:p>
      <w:pPr>
        <w:pStyle w:val="ListBullet"/>
      </w:pPr>
      <w:r>
        <w:t>source</w:t>
      </w:r>
    </w:p>
    <w:p>
      <w:pPr>
        <w:pStyle w:val="ListBullet"/>
      </w:pPr>
      <w:r>
        <w:t>question</w:t>
      </w:r>
    </w:p>
    <w:p>
      <w:pPr>
        <w:pStyle w:val="ListBullet"/>
      </w:pPr>
      <w:r>
        <w:t>classification</w:t>
      </w:r>
    </w:p>
    <w:p>
      <w:pPr>
        <w:pStyle w:val="ListBullet"/>
      </w:pPr>
      <w:r>
        <w:t>blocking scope</w:t>
      </w:r>
    </w:p>
    <w:p>
      <w:pPr>
        <w:pStyle w:val="ListBullet"/>
      </w:pPr>
      <w:r>
        <w:t>dependency</w:t>
      </w:r>
    </w:p>
    <w:p>
      <w:pPr>
        <w:pStyle w:val="ListBullet"/>
      </w:pPr>
      <w:r>
        <w:t>status</w:t>
      </w:r>
    </w:p>
    <w:p>
      <w:pPr>
        <w:pStyle w:val="Heading3"/>
      </w:pPr>
      <w:r>
        <w:t>Upstream Dependencies / Authority</w:t>
      </w:r>
    </w:p>
    <w:p>
      <w:pPr>
        <w:pStyle w:val="ListBullet"/>
      </w:pPr>
      <w:r>
        <w:t>NCIE-001–017</w:t>
      </w:r>
    </w:p>
    <w:p>
      <w:pPr>
        <w:pStyle w:val="Heading3"/>
      </w:pPr>
      <w:r>
        <w:t>Human Review Focus</w:t>
      </w:r>
    </w:p>
    <w:p>
      <w:pPr>
        <w:pStyle w:val="ListBullet"/>
      </w:pPr>
      <w:r>
        <w:t>Decide which handover decisions block expansion/approval.</w:t>
      </w:r>
    </w:p>
    <w:p>
      <w:pPr>
        <w:pStyle w:val="Heading2"/>
      </w:pPr>
      <w:r>
        <w:t>Chapter 36 — Traceability, Acceptance &amp; Final Institutional Handover</w:t>
      </w:r>
    </w:p>
    <w:p>
      <w:r>
        <w:t>Chapter Purpose. Close suite traceability and define final institutional handover state.</w:t>
      </w:r>
    </w:p>
    <w:p>
      <w:pPr>
        <w:pStyle w:val="Heading3"/>
      </w:pPr>
      <w:r>
        <w:t>Salient Things to Note</w:t>
      </w:r>
    </w:p>
    <w:p>
      <w:pPr>
        <w:pStyle w:val="ListBullet"/>
      </w:pPr>
      <w:r>
        <w:t>Final handover records institutional transition state; it does not erase unresolved blockers or fabricate acceptance.</w:t>
      </w:r>
    </w:p>
    <w:p>
      <w:pPr>
        <w:pStyle w:val="Heading3"/>
      </w:pPr>
      <w:r>
        <w:t>Principal Components</w:t>
      </w:r>
    </w:p>
    <w:p>
      <w:pPr>
        <w:pStyle w:val="ListBullet"/>
      </w:pPr>
      <w:r>
        <w:t>Traceability</w:t>
      </w:r>
    </w:p>
    <w:p>
      <w:pPr>
        <w:pStyle w:val="ListBullet"/>
      </w:pPr>
      <w:r>
        <w:t>handover package</w:t>
      </w:r>
    </w:p>
    <w:p>
      <w:pPr>
        <w:pStyle w:val="ListBullet"/>
      </w:pPr>
      <w:r>
        <w:t>acceptance decision</w:t>
      </w:r>
    </w:p>
    <w:p>
      <w:pPr>
        <w:pStyle w:val="ListBullet"/>
      </w:pPr>
      <w:r>
        <w:t>unresolved items</w:t>
      </w:r>
    </w:p>
    <w:p>
      <w:pPr>
        <w:pStyle w:val="ListBullet"/>
      </w:pPr>
      <w:r>
        <w:t>final record</w:t>
      </w:r>
    </w:p>
    <w:p>
      <w:pPr>
        <w:pStyle w:val="Heading3"/>
      </w:pPr>
      <w:r>
        <w:t>Upstream Dependencies / Authority</w:t>
      </w:r>
    </w:p>
    <w:p>
      <w:pPr>
        <w:pStyle w:val="ListBullet"/>
      </w:pPr>
      <w:r>
        <w:t>NCIE-001–017</w:t>
      </w:r>
    </w:p>
    <w:p>
      <w:pPr>
        <w:pStyle w:val="Heading3"/>
      </w:pPr>
      <w:r>
        <w:t>Human Review Focus</w:t>
      </w:r>
    </w:p>
    <w:p>
      <w:pPr>
        <w:pStyle w:val="ListBullet"/>
      </w:pPr>
      <w:r>
        <w:t>Approve skeletal architecture and authorize controlled full expansion.</w:t>
      </w:r>
    </w:p>
    <w:p>
      <w:pPr>
        <w:pStyle w:val="Heading1"/>
      </w:pPr>
      <w:r>
        <w:t>Preliminary Human Review Themes</w:t>
      </w:r>
    </w:p>
    <w:p>
      <w:pPr>
        <w:pStyle w:val="ListBullet"/>
      </w:pPr>
      <w:r>
        <w:t>Exact NCIE-018 formal title and final handover/acceptance authority.</w:t>
      </w:r>
    </w:p>
    <w:p>
      <w:pPr>
        <w:pStyle w:val="ListBullet"/>
      </w:pPr>
      <w:r>
        <w:t>Institutional capability and operational role catalogue.</w:t>
      </w:r>
    </w:p>
    <w:p>
      <w:pPr>
        <w:pStyle w:val="ListBullet"/>
      </w:pPr>
      <w:r>
        <w:t>Appointment authority, staffing/capacity evidence and authorized headcount process.</w:t>
      </w:r>
    </w:p>
    <w:p>
      <w:pPr>
        <w:pStyle w:val="ListBullet"/>
      </w:pPr>
      <w:r>
        <w:t>Competency, qualification and training standards.</w:t>
      </w:r>
    </w:p>
    <w:p>
      <w:pPr>
        <w:pStyle w:val="ListBullet"/>
      </w:pPr>
      <w:r>
        <w:t>Segregation-of-duties conflicts and exceptions.</w:t>
      </w:r>
    </w:p>
    <w:p>
      <w:pPr>
        <w:pStyle w:val="ListBullet"/>
      </w:pPr>
      <w:r>
        <w:t>Platform-domain/service/runbook/Administration Plane ownership.</w:t>
      </w:r>
    </w:p>
    <w:p>
      <w:pPr>
        <w:pStyle w:val="ListBullet"/>
      </w:pPr>
      <w:r>
        <w:t>Security/IAM/PAM, data/persistence, AI/Agent, Evidence/audit, integration, domain-module, UX and DevSecOps ownership.</w:t>
      </w:r>
    </w:p>
    <w:p>
      <w:pPr>
        <w:pStyle w:val="ListBullet"/>
      </w:pPr>
      <w:r>
        <w:t>NCIE-016 acceptance/sign-off transition.</w:t>
      </w:r>
    </w:p>
    <w:p>
      <w:pPr>
        <w:pStyle w:val="ListBullet"/>
      </w:pPr>
      <w:r>
        <w:t>NCIE-017 roadmap-to-operations transition.</w:t>
      </w:r>
    </w:p>
    <w:p>
      <w:pPr>
        <w:pStyle w:val="ListBullet"/>
      </w:pPr>
      <w:r>
        <w:t>Knowledge-transfer completion and documentation sufficiency.</w:t>
      </w:r>
    </w:p>
    <w:p>
      <w:pPr>
        <w:pStyle w:val="ListBullet"/>
      </w:pPr>
      <w:r>
        <w:t>Access provisioning and credential-separation process.</w:t>
      </w:r>
    </w:p>
    <w:p>
      <w:pPr>
        <w:pStyle w:val="ListBullet"/>
      </w:pPr>
      <w:r>
        <w:t>On-call/duty coverage and escalation model.</w:t>
      </w:r>
    </w:p>
    <w:p>
      <w:pPr>
        <w:pStyle w:val="ListBullet"/>
      </w:pPr>
      <w:r>
        <w:t>Incident/emergency operational authority.</w:t>
      </w:r>
    </w:p>
    <w:p>
      <w:pPr>
        <w:pStyle w:val="ListBullet"/>
      </w:pPr>
      <w:r>
        <w:t>Change/release/configuration ownership.</w:t>
      </w:r>
    </w:p>
    <w:p>
      <w:pPr>
        <w:pStyle w:val="ListBullet"/>
      </w:pPr>
      <w:r>
        <w:t>Vendor/provider support governance.</w:t>
      </w:r>
    </w:p>
    <w:p>
      <w:pPr>
        <w:pStyle w:val="ListBullet"/>
      </w:pPr>
      <w:r>
        <w:t>Operational service catalogue/support model.</w:t>
      </w:r>
    </w:p>
    <w:p>
      <w:pPr>
        <w:pStyle w:val="ListBullet"/>
      </w:pPr>
      <w:r>
        <w:t>Readiness-assessment and go-live recommendation authority.</w:t>
      </w:r>
    </w:p>
    <w:p>
      <w:pPr>
        <w:pStyle w:val="ListBullet"/>
      </w:pPr>
      <w:r>
        <w:t>Residual-risk/open-issue transfer and risk-acceptance authority.</w:t>
      </w:r>
    </w:p>
    <w:p>
      <w:pPr>
        <w:pStyle w:val="ListBullet"/>
      </w:pPr>
      <w:r>
        <w:t>Post-handover assurance/review cadence and authority.</w:t>
      </w:r>
    </w:p>
    <w:p>
      <w:pPr>
        <w:pStyle w:val="Heading1"/>
      </w:pPr>
      <w:r>
        <w:t>Skeletal Acceptance Gate</w:t>
      </w:r>
    </w:p>
    <w:p>
      <w:r>
        <w:t>This v0.1 skeleton is for Human structural/conceptual review only. Approval authorizes preparation of a separate Claude full-expansion directive. It does not appoint personnel, authorize headcount or budgets, provision access, transfer credentials, resolve upstream Human Review items, declare operational readiness, accept residual risk, or authorize production go-live.</w:t>
      </w:r>
    </w:p>
    <w:p>
      <w:r>
        <w:t>FULL EXPANSION STATUS: NOT AUTHORIZED UNTIL EXPLICIT HUMAN APPROVAL OF THIS SKELETAL ARCHITECTURE.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SKELETAL DOCUMENT — NOT APPROVED FOR FULL EXPANSION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NCIE-018 | OPERATIONAL HANDOVER &amp; ORGANIZATIONAL READINESS | SKELETAL v0.1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