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NCIE-018 CLAUDE FULL-EXPANSION PRODUCTION DIRECTIVE</w:t>
      </w:r>
    </w:p>
    <w:p>
      <w:pPr>
        <w:pStyle w:val="Heading1"/>
      </w:pPr>
      <w:r>
        <w:t>Approved Skeletal v0.1 → Full Operational Handover, Organizational Readiness &amp; Governance Specification v1.0</w:t>
      </w:r>
    </w:p>
    <w:p>
      <w:r>
        <w:t>CONTROLLED EXPANSION. The Human-approved 36-chapter NCIE-018 Skeletal v0.1 is structurally authoritative. Full v1.0 remains IN DEVELOPMENT / FOR HUMAN REVIEW until separately approved. This directive authorizes specification production only; it does not appoint personnel, provision access, accept risk, establish readiness or authorize go-live.</w:t>
      </w:r>
    </w:p>
    <w:p>
      <w:pPr>
        <w:pStyle w:val="Heading2"/>
      </w:pPr>
      <w:r>
        <w:t>1. Execution mandate</w:t>
      </w:r>
    </w:p>
    <w:p>
      <w:r>
        <w:t>Expand the Human-approved NCIE-018 Skeletal v0.1 into the complete NCIE-018 v1.0 handover/organizational-readiness specification. Elaborate; do not redesign NCIE-001–017 and do not execute personnel, access, readiness or go-live decisions.</w:t>
      </w:r>
    </w:p>
    <w:p>
      <w:pPr>
        <w:pStyle w:val="Heading2"/>
      </w:pPr>
      <w:r>
        <w:t>2. Authority chain</w:t>
      </w:r>
    </w:p>
    <w:p>
      <w:r>
        <w:t>Use the supplied approved NCIE-001 v1.3 through NCIE-017 v1.0 as substantive authority and the approved NCIE-018 skeleton as structural authority.</w:t>
      </w:r>
    </w:p>
    <w:p>
      <w:pPr>
        <w:pStyle w:val="Heading2"/>
      </w:pPr>
      <w:r>
        <w:t>3. Formal-title control</w:t>
      </w:r>
    </w:p>
    <w:p>
      <w:r>
        <w:t>Reconcile the exact NCIE-018 formal title against any supplied controlled suite register. A wording-only difference may update document control; a material scope discrepancy requires halt and Human Review.</w:t>
      </w:r>
    </w:p>
    <w:p>
      <w:pPr>
        <w:pStyle w:val="Heading2"/>
      </w:pPr>
      <w:r>
        <w:t>4. Structural lock</w:t>
      </w:r>
    </w:p>
    <w:p>
      <w:r>
        <w:t>Preserve exactly 36 approved chapters, titles, order and boundaries. No addition, deletion, merge, split or wholesale renumbering.</w:t>
      </w:r>
    </w:p>
    <w:p>
      <w:pPr>
        <w:pStyle w:val="Heading2"/>
      </w:pPr>
      <w:r>
        <w:t>5. Skeleton fidelity</w:t>
      </w:r>
    </w:p>
    <w:p>
      <w:r>
        <w:t>Expand every approved Chapter Purpose, Salient Things to Note, Principal Components, Upstream Dependencies/Authority and Human Review Focus.</w:t>
      </w:r>
    </w:p>
    <w:p>
      <w:pPr>
        <w:pStyle w:val="Heading2"/>
      </w:pPr>
      <w:r>
        <w:t>6. Salient-note hard gate</w:t>
      </w:r>
    </w:p>
    <w:p>
      <w:r>
        <w:t>Every chapter must retain an explicit Salient Things to Note subsection. Mechanically verify 36/36.</w:t>
      </w:r>
    </w:p>
    <w:p>
      <w:pPr>
        <w:pStyle w:val="Heading2"/>
      </w:pPr>
      <w:r>
        <w:t>7. Human-primary boundary</w:t>
      </w:r>
    </w:p>
    <w:p>
      <w:r>
        <w:t>NCIE-018 defines role/capability/readiness/handover governance. Claude must not appoint people, make employment decisions, accept risk, authorize production or silently resolve Human Review.</w:t>
      </w:r>
    </w:p>
    <w:p>
      <w:pPr>
        <w:pStyle w:val="Heading2"/>
      </w:pPr>
      <w:r>
        <w:t>8. No organization invention</w:t>
      </w:r>
    </w:p>
    <w:p>
      <w:r>
        <w:t>Do not invent an institution-specific organization chart, office names, job titles, named personnel, reporting lines or committees absent source authority. Use role classes/capabilities where unresolved.</w:t>
      </w:r>
    </w:p>
    <w:p>
      <w:pPr>
        <w:pStyle w:val="Heading2"/>
      </w:pPr>
      <w:r>
        <w:t>9. No staffing/budget invention</w:t>
      </w:r>
    </w:p>
    <w:p>
      <w:r>
        <w:t>Do not invent headcount, salaries, budgets, staffing availability, shifts, support hours, on-call rosters, training duration or capacity numbers.</w:t>
      </w:r>
    </w:p>
    <w:p>
      <w:pPr>
        <w:pStyle w:val="Heading2"/>
      </w:pPr>
      <w:r>
        <w:t>10. No credential handling</w:t>
      </w:r>
    </w:p>
    <w:p>
      <w:r>
        <w:t>Do not include or request live passwords, tokens, private keys, API keys, recovery codes or secrets in handover artifacts.</w:t>
      </w:r>
    </w:p>
    <w:p>
      <w:pPr>
        <w:pStyle w:val="Heading2"/>
      </w:pPr>
      <w:r>
        <w:t>11. Controlled unresolved state</w:t>
      </w:r>
    </w:p>
    <w:p>
      <w:r>
        <w:t>Unresolved organizational/handover choices become precise HR18 items with classification, blocking scope and upstream dependency.</w:t>
      </w:r>
    </w:p>
    <w:p>
      <w:pPr>
        <w:pStyle w:val="Heading2"/>
      </w:pPr>
      <w:r>
        <w:t>12. Handover invariants</w:t>
      </w:r>
    </w:p>
    <w:p>
      <w:r>
        <w:t>Preserve HANDOVER ≠ ACCEPTANCE and DOCUMENTATION COMPLETE ≠ OPERATIONAL READINESS.</w:t>
      </w:r>
    </w:p>
    <w:p>
      <w:pPr>
        <w:pStyle w:val="Heading2"/>
      </w:pPr>
      <w:r>
        <w:t>13. Role/staffing invariants</w:t>
      </w:r>
    </w:p>
    <w:p>
      <w:r>
        <w:t>Preserve ROLE DEFINED ≠ PERSON APPOINTED; RESPONSIBILITY ASSIGNED TO ROLE ≠ EMPLOYMENT DECISION; STAFFING REQUIREMENT ≠ AUTHORIZED HEADCOUNT.</w:t>
      </w:r>
    </w:p>
    <w:p>
      <w:pPr>
        <w:pStyle w:val="Heading2"/>
      </w:pPr>
      <w:r>
        <w:t>14. Competence/training invariants</w:t>
      </w:r>
    </w:p>
    <w:p>
      <w:r>
        <w:t>Preserve SKILL REQUIREMENT ≠ PERSONNEL COMPETENCE CONFIRMED; TRAINING COMPLETED ≠ OPERATIONAL AUTHORIZATION.</w:t>
      </w:r>
    </w:p>
    <w:p>
      <w:pPr>
        <w:pStyle w:val="Heading2"/>
      </w:pPr>
      <w:r>
        <w:t>15. Procedure/coverage invariants</w:t>
      </w:r>
    </w:p>
    <w:p>
      <w:r>
        <w:t>Preserve RUNBOOK ASSIGNED ≠ RUNBOOK VALIDATED and ON-CALL ROSTER DEFINED ≠ PERSON AVAILABLE.</w:t>
      </w:r>
    </w:p>
    <w:p>
      <w:pPr>
        <w:pStyle w:val="Heading2"/>
      </w:pPr>
      <w:r>
        <w:t>16. Access/privilege invariants</w:t>
      </w:r>
    </w:p>
    <w:p>
      <w:r>
        <w:t>Preserve ACCESS REQUESTED ≠ ACCESS AUTHORIZED and PRIVILEGED ROLE ≠ CONTENT AUTHORITY.</w:t>
      </w:r>
    </w:p>
    <w:p>
      <w:pPr>
        <w:pStyle w:val="Heading2"/>
      </w:pPr>
      <w:r>
        <w:t>17. Knowledge/secret invariants</w:t>
      </w:r>
    </w:p>
    <w:p>
      <w:r>
        <w:t>Preserve KNOWLEDGE TRANSFER ≠ CREDENTIAL TRANSFER and HANDOVER PACKAGE ≠ SECRET TRANSFER.</w:t>
      </w:r>
    </w:p>
    <w:p>
      <w:pPr>
        <w:pStyle w:val="Heading2"/>
      </w:pPr>
      <w:r>
        <w:t>18. Ownership invariants</w:t>
      </w:r>
    </w:p>
    <w:p>
      <w:r>
        <w:t>Preserve OPERATIONAL OWNER ≠ INSTITUTIONAL DECISION AUTHORITY and SUPPORT OWNERSHIP ≠ SYSTEM-OF-RECORD OWNERSHIP.</w:t>
      </w:r>
    </w:p>
    <w:p>
      <w:pPr>
        <w:pStyle w:val="Heading2"/>
      </w:pPr>
      <w:r>
        <w:t>19. Readiness/acceptance invariants</w:t>
      </w:r>
    </w:p>
    <w:p>
      <w:r>
        <w:t>Preserve READINESS CHECKLIST COMPLETE ≠ PRODUCTION ACCEPTANCE and GO-LIVE RECOMMENDATION ≠ GO-LIVE AUTHORIZATION.</w:t>
      </w:r>
    </w:p>
    <w:p>
      <w:pPr>
        <w:pStyle w:val="Heading2"/>
      </w:pPr>
      <w:r>
        <w:t>20. Risk/issue invariants</w:t>
      </w:r>
    </w:p>
    <w:p>
      <w:r>
        <w:t>Preserve RESIDUAL RISK RECORDED ≠ RISK ACCEPTED and ISSUE TRANSFERRED ≠ ISSUE RESOLVED.</w:t>
      </w:r>
    </w:p>
    <w:p>
      <w:pPr>
        <w:pStyle w:val="Heading2"/>
      </w:pPr>
      <w:r>
        <w:t>21. Change invariant</w:t>
      </w:r>
    </w:p>
    <w:p>
      <w:r>
        <w:t>Preserve POST-HANDOVER OPERATION ≠ ARCHITECTURE CHANGE AUTHORITY.</w:t>
      </w:r>
    </w:p>
    <w:p>
      <w:pPr>
        <w:pStyle w:val="Heading2"/>
      </w:pPr>
      <w:r>
        <w:t>22. NCIE-016 boundary</w:t>
      </w:r>
    </w:p>
    <w:p>
      <w:r>
        <w:t>NCIE-016 remains authoritative for testing/verification/acceptance architecture. NCIE-018 consumes verified evidence and sign-off decisions but cannot convert test status into acceptance.</w:t>
      </w:r>
    </w:p>
    <w:p>
      <w:pPr>
        <w:pStyle w:val="Heading2"/>
      </w:pPr>
      <w:r>
        <w:t>23. NCIE-017 boundary</w:t>
      </w:r>
    </w:p>
    <w:p>
      <w:r>
        <w:t>NCIE-017 remains authoritative for roadmap/build-plan sequencing. NCIE-018 consumes evidence-backed implementation transition state but cannot manufacture implementation completion.</w:t>
      </w:r>
    </w:p>
    <w:p>
      <w:pPr>
        <w:pStyle w:val="Heading2"/>
      </w:pPr>
      <w:r>
        <w:t>24. NCIE-015 boundary</w:t>
      </w:r>
    </w:p>
    <w:p>
      <w:r>
        <w:t>NCIE-015 remains authoritative for deployment/operations engineering. NCIE-018 assigns accountable organizational ownership without rewriting operational control design.</w:t>
      </w:r>
    </w:p>
    <w:p>
      <w:pPr>
        <w:pStyle w:val="Heading2"/>
      </w:pPr>
      <w:r>
        <w:t>25. Upstream HR boundary</w:t>
      </w:r>
    </w:p>
    <w:p>
      <w:r>
        <w:t>HR1–HR17 unresolved decisions remain unresolved dependencies. Reference them; do not clone or silently resolve them.</w:t>
      </w:r>
    </w:p>
    <w:p>
      <w:pPr>
        <w:pStyle w:val="Heading2"/>
      </w:pPr>
      <w:r>
        <w:t>26. Chapter 1 expansion — Mandate, Authority Chain &amp; Handover-Governance Boundary</w:t>
      </w:r>
    </w:p>
    <w:p>
      <w:r>
        <w:t>Define mandate, scope, authority chain, exclusions, outputs and final handover boundary; handover is not acceptance.</w:t>
      </w:r>
    </w:p>
    <w:p>
      <w:pPr>
        <w:pStyle w:val="Heading2"/>
      </w:pPr>
      <w:r>
        <w:t>27. Chapter 2 expansion — Human-Primary Organizational Readiness Doctrine</w:t>
      </w:r>
    </w:p>
    <w:p>
      <w:r>
        <w:t>Expand Human-Primary accountability, sustainability, evidence, escalation, competence and institutional-control doctrine.</w:t>
      </w:r>
    </w:p>
    <w:p>
      <w:pPr>
        <w:pStyle w:val="Heading2"/>
      </w:pPr>
      <w:r>
        <w:t>28. Chapter 3 expansion — Approved Baseline &amp; Handover Preconditions</w:t>
      </w:r>
    </w:p>
    <w:p>
      <w:r>
        <w:t>Define approved-document, HR-blocker, implementation, verification, runbook and ownership prerequisites; prerequisites ≠ readiness proof.</w:t>
      </w:r>
    </w:p>
    <w:p>
      <w:pPr>
        <w:pStyle w:val="Heading2"/>
      </w:pPr>
      <w:r>
        <w:t>29. Chapter 4 expansion — Handover Governance Model</w:t>
      </w:r>
    </w:p>
    <w:p>
      <w:r>
        <w:t>Define handover stages, entry/exit evidence, decision authorities, blocked/conditional states, receipts and historical record.</w:t>
      </w:r>
    </w:p>
    <w:p>
      <w:pPr>
        <w:pStyle w:val="Heading2"/>
      </w:pPr>
      <w:r>
        <w:t>30. Chapter 5 expansion — Organizational Capability Model</w:t>
      </w:r>
    </w:p>
    <w:p>
      <w:r>
        <w:t>Define capability domains/functions/interfaces/gaps/dependencies without inventing an organization chart.</w:t>
      </w:r>
    </w:p>
    <w:p>
      <w:pPr>
        <w:pStyle w:val="Heading2"/>
      </w:pPr>
      <w:r>
        <w:t>31. Chapter 6 expansion — Operational Role &amp; Responsibility Catalogue</w:t>
      </w:r>
    </w:p>
    <w:p>
      <w:r>
        <w:t>Define role IDs/classes, responsibilities, authority boundaries, escalation, SoD and evidence; no named appointments.</w:t>
      </w:r>
    </w:p>
    <w:p>
      <w:pPr>
        <w:pStyle w:val="Heading2"/>
      </w:pPr>
      <w:r>
        <w:t>32. Chapter 7 expansion — Staffing Requirement &amp; Capacity Planning</w:t>
      </w:r>
    </w:p>
    <w:p>
      <w:r>
        <w:t>Define staffing/capacity basis, coverage needs, assumptions and gaps without headcount/budget/availability invention.</w:t>
      </w:r>
    </w:p>
    <w:p>
      <w:pPr>
        <w:pStyle w:val="Heading2"/>
      </w:pPr>
      <w:r>
        <w:t>33. Chapter 8 expansion — Skills, Competency &amp; Qualification Framework</w:t>
      </w:r>
    </w:p>
    <w:p>
      <w:r>
        <w:t>Define skill/competency/qualification evidence, review/renewal and gaps; requirement ≠ competence confirmed.</w:t>
      </w:r>
    </w:p>
    <w:p>
      <w:pPr>
        <w:pStyle w:val="Heading2"/>
      </w:pPr>
      <w:r>
        <w:t>34. Chapter 9 expansion — Segregation of Duties &amp; Role Conflict Control</w:t>
      </w:r>
    </w:p>
    <w:p>
      <w:r>
        <w:t>Define conflicting-role/prohibited-combination/recusal/dual-control/review rules consuming NCIE-008/009.</w:t>
      </w:r>
    </w:p>
    <w:p>
      <w:pPr>
        <w:pStyle w:val="Heading2"/>
      </w:pPr>
      <w:r>
        <w:t>35. Chapter 10 expansion — Operational Ownership by Platform Domain</w:t>
      </w:r>
    </w:p>
    <w:p>
      <w:r>
        <w:t>Map platform domains to operational role classes, governance authority, escalation and backup-role concept; owner ≠ decision authority.</w:t>
      </w:r>
    </w:p>
    <w:p>
      <w:pPr>
        <w:pStyle w:val="Heading2"/>
      </w:pPr>
      <w:r>
        <w:t>36. Chapter 11 expansion — Service Ownership &amp; Accountability Model</w:t>
      </w:r>
    </w:p>
    <w:p>
      <w:r>
        <w:t>Define service owner/support roles, accountability, SLO interface, escalation and dependencies; support ownership ≠ system-of-record ownership.</w:t>
      </w:r>
    </w:p>
    <w:p>
      <w:pPr>
        <w:pStyle w:val="Heading2"/>
      </w:pPr>
      <w:r>
        <w:t>37. Chapter 12 expansion — Runbook Ownership &amp; Procedure Governance</w:t>
      </w:r>
    </w:p>
    <w:p>
      <w:r>
        <w:t>Define runbook owner/reviewer/trigger/version/validation/escalation; assigned ≠ validated.</w:t>
      </w:r>
    </w:p>
    <w:p>
      <w:pPr>
        <w:pStyle w:val="Heading2"/>
      </w:pPr>
      <w:r>
        <w:t>38. Chapter 13 expansion — Administration Plane Ownership</w:t>
      </w:r>
    </w:p>
    <w:p>
      <w:r>
        <w:t>Define Administration Plane surfaces, authorized role classes, action classes, audit and escalation without inventing appointments.</w:t>
      </w:r>
    </w:p>
    <w:p>
      <w:pPr>
        <w:pStyle w:val="Heading2"/>
      </w:pPr>
      <w:r>
        <w:t>39. Chapter 14 expansion — IAM, Security &amp; Privileged-Operations Ownership</w:t>
      </w:r>
    </w:p>
    <w:p>
      <w:r>
        <w:t>Define IAM/PAM/secrets/security-monitoring/break-glass/on-call/SoD ownership within NCIE-009/015.</w:t>
      </w:r>
    </w:p>
    <w:p>
      <w:pPr>
        <w:pStyle w:val="Heading2"/>
      </w:pPr>
      <w:r>
        <w:t>40. Chapter 15 expansion — Data Stewardship &amp; Persistence-Operations Ownership</w:t>
      </w:r>
    </w:p>
    <w:p>
      <w:r>
        <w:t>Define data stewardship, database/storage operations, backup/restore, migration, quality and escalation without creating canonical/Evidence authority.</w:t>
      </w:r>
    </w:p>
    <w:p>
      <w:pPr>
        <w:pStyle w:val="Heading2"/>
      </w:pPr>
      <w:r>
        <w:t>41. Chapter 16 expansion — ARGUS, AI, Agent, Model, Tool &amp; VPF Operational Ownership</w:t>
      </w:r>
    </w:p>
    <w:p>
      <w:r>
        <w:t>Define ARGUS/Memory/Agent/Model/Tool/VPF service support, ownership and escalation without expanding machine authority.</w:t>
      </w:r>
    </w:p>
    <w:p>
      <w:pPr>
        <w:pStyle w:val="Heading2"/>
      </w:pPr>
      <w:r>
        <w:t>42. Chapter 17 expansion — Evidence, Provenance &amp; Audit Operational Ownership</w:t>
      </w:r>
    </w:p>
    <w:p>
      <w:r>
        <w:t>Define Evidence-store/custody/provenance/audit/integrity/privileged-access operational roles without granting evidentiary truth authority.</w:t>
      </w:r>
    </w:p>
    <w:p>
      <w:pPr>
        <w:pStyle w:val="Heading2"/>
      </w:pPr>
      <w:r>
        <w:t>43. Chapter 18 expansion — API, Integration &amp; Connector Operational Ownership</w:t>
      </w:r>
    </w:p>
    <w:p>
      <w:r>
        <w:t>Define API/event/connector/provider/schema/reconciliation operational ownership; support cannot broaden disclosure authority.</w:t>
      </w:r>
    </w:p>
    <w:p>
      <w:pPr>
        <w:pStyle w:val="Heading2"/>
      </w:pPr>
      <w:r>
        <w:t>44. Chapter 19 expansion — Functional Module &amp; Domain Operational Ownership</w:t>
      </w:r>
    </w:p>
    <w:p>
      <w:r>
        <w:t>Define Network/Traffic/Revenue/Mobile Money/SIM/Anti-Fraud/REWS operational support without changing rules/Findings/Decisions.</w:t>
      </w:r>
    </w:p>
    <w:p>
      <w:pPr>
        <w:pStyle w:val="Heading2"/>
      </w:pPr>
      <w:r>
        <w:t>45. Chapter 20 expansion — UX/UI &amp; User-Support Ownership</w:t>
      </w:r>
    </w:p>
    <w:p>
      <w:r>
        <w:t>Define Design System/frontend/accessibility/user-support ownership without changing authorization or semantic state.</w:t>
      </w:r>
    </w:p>
    <w:p>
      <w:pPr>
        <w:pStyle w:val="Heading2"/>
      </w:pPr>
      <w:r>
        <w:t>46. Chapter 21 expansion — DevSecOps, Infrastructure &amp; Deployment Ownership</w:t>
      </w:r>
    </w:p>
    <w:p>
      <w:r>
        <w:t>Define CI/CD/IaC/runtime/observability/deployment/DR/platform-support ownership while preserving NCIE-015 release authority.</w:t>
      </w:r>
    </w:p>
    <w:p>
      <w:pPr>
        <w:pStyle w:val="Heading2"/>
      </w:pPr>
      <w:r>
        <w:t>47. Chapter 22 expansion — Testing, Verification &amp; Acceptance Handover</w:t>
      </w:r>
    </w:p>
    <w:p>
      <w:r>
        <w:t>Define transition of NCIE-016 RTM/results/defects/residual gaps/acceptance evidence into authorized sign-off; test pass ≠ production acceptance.</w:t>
      </w:r>
    </w:p>
    <w:p>
      <w:pPr>
        <w:pStyle w:val="Heading2"/>
      </w:pPr>
      <w:r>
        <w:t>48. Chapter 23 expansion — Implementation Roadmap-to-Operations Transition</w:t>
      </w:r>
    </w:p>
    <w:p>
      <w:r>
        <w:t>Define transition of NCIE-017 WBS/dependencies/status/blockers/implementation evidence into operations; roadmap ≠ implementation.</w:t>
      </w:r>
    </w:p>
    <w:p>
      <w:pPr>
        <w:pStyle w:val="Heading2"/>
      </w:pPr>
      <w:r>
        <w:t>49. Chapter 24 expansion — Knowledge Transfer &amp; Documentation Handover</w:t>
      </w:r>
    </w:p>
    <w:p>
      <w:r>
        <w:t>Define documentation inventory, runbooks, architecture/support docs, knowledge-transfer sessions, gaps and completion evidence; exclude secrets.</w:t>
      </w:r>
    </w:p>
    <w:p>
      <w:pPr>
        <w:pStyle w:val="Heading2"/>
      </w:pPr>
      <w:r>
        <w:t>50. Chapter 25 expansion — Training, Enablement &amp; Operational Qualification</w:t>
      </w:r>
    </w:p>
    <w:p>
      <w:r>
        <w:t>Define training curriculum/exercises/assessment/qualification/records by role class; training completion ≠ operational authorization.</w:t>
      </w:r>
    </w:p>
    <w:p>
      <w:pPr>
        <w:pStyle w:val="Heading2"/>
      </w:pPr>
      <w:r>
        <w:t>51. Chapter 26 expansion — Access Provisioning &amp; Credential-Separation Governance</w:t>
      </w:r>
    </w:p>
    <w:p>
      <w:r>
        <w:t>Define identity/access request/approval/provisioning/review/revocation and explicit credential-separation; access requested ≠ authorized.</w:t>
      </w:r>
    </w:p>
    <w:p>
      <w:pPr>
        <w:pStyle w:val="Heading2"/>
      </w:pPr>
      <w:r>
        <w:t>52. Chapter 27 expansion — On-Call, Escalation &amp; Duty-Coverage Governance</w:t>
      </w:r>
    </w:p>
    <w:p>
      <w:r>
        <w:t>Define coverage model, rota requirements, escalation tiers, handoff and fatigue/risk interface without inventing actual rosters/support hours.</w:t>
      </w:r>
    </w:p>
    <w:p>
      <w:pPr>
        <w:pStyle w:val="Heading2"/>
      </w:pPr>
      <w:r>
        <w:t>53. Chapter 28 expansion — Incident, Problem &amp; Emergency-Authority Handover</w:t>
      </w:r>
    </w:p>
    <w:p>
      <w:r>
        <w:t>Define incident/problem/emergency role classes, authority boundaries, post-review and evidence; emergency role ≠ permanent exception authority.</w:t>
      </w:r>
    </w:p>
    <w:p>
      <w:pPr>
        <w:pStyle w:val="Heading2"/>
      </w:pPr>
      <w:r>
        <w:t>54. Chapter 29 expansion — Change, Release &amp; Configuration Governance Handover</w:t>
      </w:r>
    </w:p>
    <w:p>
      <w:r>
        <w:t>Define change/release/configuration role ownership, governance interface and audit without transferring architecture-change authority.</w:t>
      </w:r>
    </w:p>
    <w:p>
      <w:pPr>
        <w:pStyle w:val="Heading2"/>
      </w:pPr>
      <w:r>
        <w:t>55. Chapter 30 expansion — Vendor, Provider &amp; External-Support Governance</w:t>
      </w:r>
    </w:p>
    <w:p>
      <w:r>
        <w:t>Define provider owner/contract-support/escalation/exit/substitution/accountability; vendor support never transfers institutional accountability.</w:t>
      </w:r>
    </w:p>
    <w:p>
      <w:pPr>
        <w:pStyle w:val="Heading2"/>
      </w:pPr>
      <w:r>
        <w:t>56. Chapter 31 expansion — Operational Service Catalogue &amp; Support Model</w:t>
      </w:r>
    </w:p>
    <w:p>
      <w:r>
        <w:t>Define service catalogue, consumers, support interface, request/incident paths, escalation and dependencies without inventing support-hour commitments.</w:t>
      </w:r>
    </w:p>
    <w:p>
      <w:pPr>
        <w:pStyle w:val="Heading2"/>
      </w:pPr>
      <w:r>
        <w:t>57. Chapter 32 expansion — Operational Readiness Assessment</w:t>
      </w:r>
    </w:p>
    <w:p>
      <w:r>
        <w:t>Define readiness domains/evidence/blockers/authority/assessment/recommendation; checklist completion ≠ production acceptance.</w:t>
      </w:r>
    </w:p>
    <w:p>
      <w:pPr>
        <w:pStyle w:val="Heading2"/>
      </w:pPr>
      <w:r>
        <w:t>58. Chapter 33 expansion — Residual Risk, Known Limitations &amp; Open-Issue Transfer</w:t>
      </w:r>
    </w:p>
    <w:p>
      <w:r>
        <w:t>Define residual risk, limitation, issue, HR blocker, mitigation, target/status and transfer authority; recorded/transferred ≠ accepted/resolved.</w:t>
      </w:r>
    </w:p>
    <w:p>
      <w:pPr>
        <w:pStyle w:val="Heading2"/>
      </w:pPr>
      <w:r>
        <w:t>59. Chapter 34 expansion — Post-Handover Assurance &amp; Governance Review</w:t>
      </w:r>
    </w:p>
    <w:p>
      <w:r>
        <w:t>Define post-handover assurance, lessons, review triggers, evidence and governance feedback; operations cannot silently alter architecture.</w:t>
      </w:r>
    </w:p>
    <w:p>
      <w:pPr>
        <w:pStyle w:val="Heading2"/>
      </w:pPr>
      <w:r>
        <w:t>60. Chapter 35 expansion — Human Review Register &amp; Open Handover Decisions</w:t>
      </w:r>
    </w:p>
    <w:p>
      <w:r>
        <w:t>Build complete HR18 register from unresolved Chapters 1–34 and 36; deduplicate HR1–HR17 and preserve precise Blocking/Non-Blocking scope.</w:t>
      </w:r>
    </w:p>
    <w:p>
      <w:pPr>
        <w:pStyle w:val="Heading2"/>
      </w:pPr>
      <w:r>
        <w:t>61. Chapter 36 expansion — Traceability, Acceptance &amp; Final Institutional Handover</w:t>
      </w:r>
    </w:p>
    <w:p>
      <w:r>
        <w:t>Build traceability to NCIE-001–017, skeleton fidelity, handover acceptance criteria, HR gate, unresolved items and final institutional handover record.</w:t>
      </w:r>
    </w:p>
    <w:p>
      <w:pPr>
        <w:pStyle w:val="Heading2"/>
      </w:pPr>
      <w:r>
        <w:t>62. Organizational capability matrix</w:t>
      </w:r>
    </w:p>
    <w:p>
      <w:r>
        <w:t>Map platform/service domains to required capabilities, role classes, authority boundary, SoD constraints, escalation and unresolved ownership decisions.</w:t>
      </w:r>
    </w:p>
    <w:p>
      <w:pPr>
        <w:pStyle w:val="Heading2"/>
      </w:pPr>
      <w:r>
        <w:t>63. Operational ownership matrix</w:t>
      </w:r>
    </w:p>
    <w:p>
      <w:r>
        <w:t>Map NCIE-001–017 domains/services to operational owner role, support role, governance authority, runbook owner, escalation and backup-role requirement without naming people.</w:t>
      </w:r>
    </w:p>
    <w:p>
      <w:pPr>
        <w:pStyle w:val="Heading2"/>
      </w:pPr>
      <w:r>
        <w:t>64. Handover-stage matrix</w:t>
      </w:r>
    </w:p>
    <w:p>
      <w:r>
        <w:t>Map each handover stage to prerequisites, evidence, Blocking HR dependencies, decision authority, allowed disposition and next state.</w:t>
      </w:r>
    </w:p>
    <w:p>
      <w:pPr>
        <w:pStyle w:val="Heading2"/>
      </w:pPr>
      <w:r>
        <w:t>65. Role-to-access matrix</w:t>
      </w:r>
    </w:p>
    <w:p>
      <w:r>
        <w:t>Map role classes to requested operational access categories, approval authority, provisioning/review/revocation path and explicit content-authority limits. Do not include credentials.</w:t>
      </w:r>
    </w:p>
    <w:p>
      <w:pPr>
        <w:pStyle w:val="Heading2"/>
      </w:pPr>
      <w:r>
        <w:t>66. Knowledge-transfer matrix</w:t>
      </w:r>
    </w:p>
    <w:p>
      <w:r>
        <w:t>Map domain/service to required documentation, runbooks, KT activity, receiving role, completion evidence, gaps and follow-up.</w:t>
      </w:r>
    </w:p>
    <w:p>
      <w:pPr>
        <w:pStyle w:val="Heading2"/>
      </w:pPr>
      <w:r>
        <w:t>67. Training/qualification matrix</w:t>
      </w:r>
    </w:p>
    <w:p>
      <w:r>
        <w:t>Map role classes to required knowledge/skills/exercises/assessment/qualification evidence and authorization dependency without inventing durations or pass thresholds.</w:t>
      </w:r>
    </w:p>
    <w:p>
      <w:pPr>
        <w:pStyle w:val="Heading2"/>
      </w:pPr>
      <w:r>
        <w:t>68. Readiness-assessment matrix</w:t>
      </w:r>
    </w:p>
    <w:p>
      <w:r>
        <w:t>Map readiness domains to evidence, blocker, owner-authority, assessment state, recommendation and explicit distinction from production acceptance.</w:t>
      </w:r>
    </w:p>
    <w:p>
      <w:pPr>
        <w:pStyle w:val="Heading2"/>
      </w:pPr>
      <w:r>
        <w:t>69. Residual-risk/open-issue register</w:t>
      </w:r>
    </w:p>
    <w:p>
      <w:r>
        <w:t>Consolidate known limitations, unresolved HR dependencies, risks and issues with owner authority, mitigation/status and acceptance/resolution state.</w:t>
      </w:r>
    </w:p>
    <w:p>
      <w:pPr>
        <w:pStyle w:val="Heading2"/>
      </w:pPr>
      <w:r>
        <w:t>70. HR1–HR17 dependency matrix</w:t>
      </w:r>
    </w:p>
    <w:p>
      <w:r>
        <w:t>Reference upstream Human Review items relevant to handover/ownership without renumbering or falsely resolving them; distinguish referenced upstream HR from new HR18.</w:t>
      </w:r>
    </w:p>
    <w:p>
      <w:pPr>
        <w:pStyle w:val="Heading2"/>
      </w:pPr>
      <w:r>
        <w:t>71. Human Review reconciliation</w:t>
      </w:r>
    </w:p>
    <w:p>
      <w:r>
        <w:t>Programmatically extract every HR18 ID and reconcile Chapter 35: zero duplicate IDs, zero orphan current items, explained classifications and precise Blocking/Non-Blocking scopes.</w:t>
      </w:r>
    </w:p>
    <w:p>
      <w:pPr>
        <w:pStyle w:val="Heading2"/>
      </w:pPr>
      <w:r>
        <w:t>72. Appointment-fabrication audit</w:t>
      </w:r>
    </w:p>
    <w:p>
      <w:r>
        <w:t>Search for named appointments, claims that roles are filled, personnel availability or employment decisions without source evidence; remove/convert to Human Review.</w:t>
      </w:r>
    </w:p>
    <w:p>
      <w:pPr>
        <w:pStyle w:val="Heading2"/>
      </w:pPr>
      <w:r>
        <w:t>73. Staffing/budget fabrication audit</w:t>
      </w:r>
    </w:p>
    <w:p>
      <w:r>
        <w:t>Search for unsourced headcounts, salaries, budgets, shift counts, support hours, training durations, rota assignments or capacity values; remove/mark unresolved.</w:t>
      </w:r>
    </w:p>
    <w:p>
      <w:pPr>
        <w:pStyle w:val="Heading2"/>
      </w:pPr>
      <w:r>
        <w:t>74. Credential-safety audit</w:t>
      </w:r>
    </w:p>
    <w:p>
      <w:r>
        <w:t>Search all three artifacts for passwords/tokens/private keys/API keys/secrets or instructions to embed them; none may appear.</w:t>
      </w:r>
    </w:p>
    <w:p>
      <w:pPr>
        <w:pStyle w:val="Heading2"/>
      </w:pPr>
      <w:r>
        <w:t>75. Acceptance-integrity audit</w:t>
      </w:r>
    </w:p>
    <w:p>
      <w:r>
        <w:t>Verify handover, documentation, training, readiness checklists, go-live recommendations and operational ownership are not represented as production acceptance.</w:t>
      </w:r>
    </w:p>
    <w:p>
      <w:pPr>
        <w:pStyle w:val="Heading2"/>
      </w:pPr>
      <w:r>
        <w:t>76. Risk-integrity audit</w:t>
      </w:r>
    </w:p>
    <w:p>
      <w:r>
        <w:t>Verify residual-risk recording/transfer is not represented as risk acceptance and issue transfer is not resolution.</w:t>
      </w:r>
    </w:p>
    <w:p>
      <w:pPr>
        <w:pStyle w:val="Heading2"/>
      </w:pPr>
      <w:r>
        <w:t>77. Authority audit</w:t>
      </w:r>
    </w:p>
    <w:p>
      <w:r>
        <w:t>Verify operational/support/privileged roles do not acquire institutional decision, content, system-of-record or architecture-change authority by implication.</w:t>
      </w:r>
    </w:p>
    <w:p>
      <w:pPr>
        <w:pStyle w:val="Heading2"/>
      </w:pPr>
      <w:r>
        <w:t>78. NCIE-016/017 transition audit</w:t>
      </w:r>
    </w:p>
    <w:p>
      <w:r>
        <w:t>Verify test/verification and roadmap/build status are consumed exactly as evidence-backed states; no false test pass or implementation completion.</w:t>
      </w:r>
    </w:p>
    <w:p>
      <w:pPr>
        <w:pStyle w:val="Heading2"/>
      </w:pPr>
      <w:r>
        <w:t>79. No fabricated organization audit</w:t>
      </w:r>
    </w:p>
    <w:p>
      <w:r>
        <w:t>Remove unsupported organizational names/committees/reporting lines/job titles; use role classes and Human Review.</w:t>
      </w:r>
    </w:p>
    <w:p>
      <w:pPr>
        <w:pStyle w:val="Heading2"/>
      </w:pPr>
      <w:r>
        <w:t>80. No readiness claims</w:t>
      </w:r>
    </w:p>
    <w:p>
      <w:r>
        <w:t>Do not claim the organization is staffed, trained, ready, on-call, operationally accepted or production-authorized merely because the specification defines requirements.</w:t>
      </w:r>
    </w:p>
    <w:p>
      <w:pPr>
        <w:pStyle w:val="Heading2"/>
      </w:pPr>
      <w:r>
        <w:t>81. Adversarial review</w:t>
      </w:r>
    </w:p>
    <w:p>
      <w:r>
        <w:t>Review from organizational design, operations/SRE, security/IAM, governance/SoD, knowledge transfer/training, service management, acceptance and institutional-risk perspectives; correct defects without exposing private chain-of-thought.</w:t>
      </w:r>
    </w:p>
    <w:p>
      <w:pPr>
        <w:pStyle w:val="Heading2"/>
      </w:pPr>
      <w:r>
        <w:t>82. Skeleton fidelity audit</w:t>
      </w:r>
    </w:p>
    <w:p>
      <w:r>
        <w:t>Verify all 36 approved Chapter Purposes, Salient Things to Note, Principal Components, dependencies and Human Review foci are represented and not inverted.</w:t>
      </w:r>
    </w:p>
    <w:p>
      <w:pPr>
        <w:pStyle w:val="Heading2"/>
      </w:pPr>
      <w:r>
        <w:t>83. 36-chapter integrity audit</w:t>
      </w:r>
    </w:p>
    <w:p>
      <w:r>
        <w:t>Programmatically verify exactly 36 sequential chapters, no missing/duplicate/added chapter and no unintended renaming.</w:t>
      </w:r>
    </w:p>
    <w:p>
      <w:pPr>
        <w:pStyle w:val="Heading2"/>
      </w:pPr>
      <w:r>
        <w:t>84. Salient Things to Note audit</w:t>
      </w:r>
    </w:p>
    <w:p>
      <w:r>
        <w:t>Programmatically verify an explicit Salient Things to Note subsection in all 36 chapters.</w:t>
      </w:r>
    </w:p>
    <w:p>
      <w:pPr>
        <w:pStyle w:val="Heading2"/>
      </w:pPr>
      <w:r>
        <w:t>85. Cross-reference audit</w:t>
      </w:r>
    </w:p>
    <w:p>
      <w:r>
        <w:t>Verify NCIE-001–017 versions, chapter references, HR18 IDs, upstream HR references, ownership mappings and NCIE-016/017/015 transition references.</w:t>
      </w:r>
    </w:p>
    <w:p>
      <w:pPr>
        <w:pStyle w:val="Heading2"/>
      </w:pPr>
      <w:r>
        <w:t>86. Invariant audit</w:t>
      </w:r>
    </w:p>
    <w:p>
      <w:r>
        <w:t>Verify every approved skeletal handover/organizational-readiness invariant is explicitly preserved and no operative chapter contradicts it.</w:t>
      </w:r>
    </w:p>
    <w:p>
      <w:pPr>
        <w:pStyle w:val="Heading2"/>
      </w:pPr>
      <w:r>
        <w:t>87. Visual/table audit</w:t>
      </w:r>
    </w:p>
    <w:p>
      <w:r>
        <w:t>Render every page and inspect capability, ownership, handover, access, KT, training, readiness, residual-risk, HR and traceability tables for clipping/overlap/readability.</w:t>
      </w:r>
    </w:p>
    <w:p>
      <w:pPr>
        <w:pStyle w:val="Heading2"/>
      </w:pPr>
      <w:r>
        <w:t>88. Document control</w:t>
      </w:r>
    </w:p>
    <w:p>
      <w:r>
        <w:t>Produce NCIE-018 v1.0 IN DEVELOPMENT / FOR HUMAN REVIEW; preserve Skeletal v0.1 as approved expansion architecture and record formal-title reconciliation if applicable.</w:t>
      </w:r>
    </w:p>
    <w:p>
      <w:pPr>
        <w:pStyle w:val="Heading2"/>
      </w:pPr>
      <w:r>
        <w:t>89. Deliverable A</w:t>
      </w:r>
    </w:p>
    <w:p>
      <w:r>
        <w:t>Produce NCIE-018_Operational_Handover_Organizational_Readiness_Governance_Specification_v1_0_IN_DEVELOPMENT.docx, using authoritative formal title wording if register reconciliation requires clerical correction.</w:t>
      </w:r>
    </w:p>
    <w:p>
      <w:pPr>
        <w:pStyle w:val="Heading2"/>
      </w:pPr>
      <w:r>
        <w:t>90. Deliverable B</w:t>
      </w:r>
    </w:p>
    <w:p>
      <w:r>
        <w:t>Produce NCIE-018_v1_0_Full_Expansion_Change_Register.docx mapping every skeletal chapter/component/salient note to expanded location, authority basis, HR effect and status.</w:t>
      </w:r>
    </w:p>
    <w:p>
      <w:pPr>
        <w:pStyle w:val="Heading2"/>
      </w:pPr>
      <w:r>
        <w:t>91. Deliverable C</w:t>
      </w:r>
    </w:p>
    <w:p>
      <w:r>
        <w:t>Produce NCIE-018_v0_1_to_v1_0_Expansion_Verification_Report.docx covering title control, skeleton fidelity, 36-chapter integrity, salient-note coverage, invariants, ownership/readiness matrices, HR, status integrity, traceability, document control and visual QA.</w:t>
      </w:r>
    </w:p>
    <w:p>
      <w:pPr>
        <w:pStyle w:val="Heading2"/>
      </w:pPr>
      <w:r>
        <w:t>92. Three-artifact consistency</w:t>
      </w:r>
    </w:p>
    <w:p>
      <w:r>
        <w:t>All three artifacts must agree on formal title, version/status, 36 chapters, authority chain, HR totals/classifications/blockers, no-appointment/no-readiness/no-acceptance posture and final handover boundary.</w:t>
      </w:r>
    </w:p>
    <w:p>
      <w:pPr>
        <w:pStyle w:val="Heading2"/>
      </w:pPr>
      <w:r>
        <w:t>93. Chat response</w:t>
      </w:r>
    </w:p>
    <w:p>
      <w:r>
        <w:t>Do not paste the full specification. Return concise production summary, formal title, HR18 totals/classifications, blockers, unresolved organizational/readiness decisions, integrity results and links.</w:t>
      </w:r>
    </w:p>
    <w:p>
      <w:pPr>
        <w:pStyle w:val="Heading2"/>
      </w:pPr>
      <w:r>
        <w:t>94. Directive integrity gate</w:t>
      </w:r>
    </w:p>
    <w:p>
      <w:r>
        <w:t>Before production mechanically verify expected numbered items = actual items; missing = none; duplicates = none; truncated = none; approved chapter coverage = 36/36.</w:t>
      </w:r>
    </w:p>
    <w:p>
      <w:pPr>
        <w:pStyle w:val="Heading2"/>
      </w:pPr>
      <w:r>
        <w:t>95. Final execution instruction</w:t>
      </w:r>
    </w:p>
    <w:p>
      <w:r>
        <w:t>Proceed only after directive integrity verification. Use the Human-approved NCIE-018 Skeletal v0.1 plus approved NCIE-001–017 as sole substantive basis; preserve unresolved organizational/handover choices for Human Review and do not execute appointments, access provisioning, risk acceptance, readiness acceptance or go-live.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95</w:t>
        <w:br/>
        <w:t>ACTUAL NUMBERED ITEMS = 95</w:t>
        <w:br/>
        <w:t>MISSING NUMBERS = NONE</w:t>
        <w:br/>
        <w:t>DUPLICATE NUMBERS = NONE</w:t>
        <w:br/>
        <w:t>TRUNCATED ITEMS = NONE</w:t>
        <w:br/>
        <w:t>APPROVED CHAPTER COVERAGE = 36/36</w:t>
      </w:r>
    </w:p>
    <w:p>
      <w:r>
        <w:t>Independently recheck this declaration against the assembled DOCX before Claude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HANDOVER / ORGANIZATIONAL-READINESS PRODUCTION INSTRUCTION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NCIE-018 | CLAUDE FULL-EXPANSION DIRECTIVE | SKELETAL v0.1 → FULL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