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NCIE-018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Operational Handover, Organizational Readiness &amp; Governance Specification — IN DEVELOPMENT / FOR HUMAN REVIEW</w:t>
      </w:r>
    </w:p>
    <w:p>
      <w:pPr>
        <w:spacing w:after="80" w:before="0"/>
      </w:pPr>
      <w:r>
        <w:rPr>
          <w:b/>
          <w:bCs/>
          <w:sz w:val="20"/>
          <w:szCs w:val="20"/>
        </w:rPr>
        <w:t xml:space="preserve">Register Supersession &amp; Production Restart (Document-Control/Source-Authority Event)</w:t>
      </w:r>
    </w:p>
    <w:p>
      <w:pPr>
        <w:spacing w:after="200"/>
      </w:pPr>
      <w:r>
        <w:rPr>
          <w:sz w:val="19"/>
          <w:szCs w:val="19"/>
        </w:rPr>
        <w:t xml:space="preserve">Production of NCIE-018 was first attempted against the original 95-item Claude Full-Expansion Production Directive. Per directive item 3, the exact formal title was checked against the then-current NCIE Documentation Suite Master Controlled Register v2.0, which described NCIE-018 as a 14-chapter 'Master Production Handover Package' — materially inconsistent with the Human-approved 36-chapter Operational Handover, Organizational Readiness &amp; Governance skeletal architecture. This was correctly identified as a MATERIAL scope discrepancy under directive item 3's own halt-and-report rule; production was halted before any expansion content was produced, and the discrepancy was reported for Human governance. Human governance subsequently reconciled the Documentation Suite, issuing NCIE Documentation Suite Production-Ready v3.0 RECONCILED (superseding the 17 August 2026 / 319-chapter catalogue for suite indexing and NCIE-018 production) and the NCIE-018 Superseding Source-Reconciliation &amp; Full-Production Restart Directive (54 items, supplementing the original 95-item directive without replacing it). The reconciled v3.0 register now records NCIE-018 as 'Operational Handover, Organizational Readiness &amp; Governance Specification', 36 chapters — an EXACT MATCH to the approved skeleton's own working title, requiring no wording correction. Production was restarted from the beginning per the restart directive; this pause-and-reconciliation sequence is recorded here as a successful governance stop condition and subsequent source-control reconciliation, not concealed. SUBSTANTIVE 36-CHAPTER ARCHITECTURE IMPACT: NONE — the approved skeleton was neither expanded, compressed, nor redesigned by this reconciliation.</w:t>
      </w:r>
    </w:p>
    <w:p>
      <w:pPr>
        <w:spacing w:after="200"/>
      </w:pPr>
      <w:r>
        <w:rPr>
          <w:sz w:val="19"/>
          <w:szCs w:val="19"/>
        </w:rPr>
        <w:t xml:space="preserve">Maps each of the 36 approved NCIE-018 Skeletal v0.1 chapters to its expanded v1.0 location, states the authority basis for the expansion, and records the effect on that chapter's Human Review Focus item. No chapter was added, removed, merged, split or renumbered, and no chapter was compressed into the superseded 14-chapter allocation; every approved chapter purpose, Salient Things to Note, principal component, upstream dependency and Human Review focus is substantively represented below, including an explicit Salient Things to Note subsection in all 36 chapters (directive item 84 / restart item 17 hard gate). No credential, password, token or key appears anywhere in the expanded specification (independently re-verified against the rendered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handover-governance boundary; HR focus: title/handover acceptance authority.</w:t>
            </w:r>
          </w:p>
        </w:tc>
        <w:tc>
          <w:tcPr>
            <w:tcW w:type="dxa" w:w="2600"/>
            <w:tcMar>
              <w:top w:type="dxa" w:w="60"/>
              <w:left w:type="dxa" w:w="80"/>
              <w:bottom w:type="dxa" w:w="60"/>
              <w:right w:type="dxa" w:w="80"/>
            </w:tcMar>
          </w:tcPr>
          <w:p>
            <w:r>
              <w:rPr>
                <w:b w:val="false"/>
                <w:bCs w:val="false"/>
                <w:sz w:val="17"/>
                <w:szCs w:val="17"/>
              </w:rPr>
              <w:t xml:space="preserve">§1.1-1.3, Table 1 (boundary), Table 2 (RACI), HR18-1-1.</w:t>
            </w:r>
          </w:p>
        </w:tc>
        <w:tc>
          <w:tcPr>
            <w:tcW w:type="dxa" w:w="2400"/>
            <w:tcMar>
              <w:top w:type="dxa" w:w="60"/>
              <w:left w:type="dxa" w:w="80"/>
              <w:bottom w:type="dxa" w:w="60"/>
              <w:right w:type="dxa" w:w="80"/>
            </w:tcMar>
          </w:tcPr>
          <w:p>
            <w:r>
              <w:rPr>
                <w:b w:val="false"/>
                <w:bCs w:val="false"/>
                <w:sz w:val="17"/>
                <w:szCs w:val="17"/>
              </w:rPr>
              <w:t xml:space="preserve">NCIE-002 §1.2 and Ch.32; NCIE-001-017 approved chain.</w:t>
            </w:r>
          </w:p>
        </w:tc>
        <w:tc>
          <w:tcPr>
            <w:tcW w:type="dxa" w:w="2400"/>
            <w:tcMar>
              <w:top w:type="dxa" w:w="60"/>
              <w:left w:type="dxa" w:w="80"/>
              <w:bottom w:type="dxa" w:w="60"/>
              <w:right w:type="dxa" w:w="80"/>
            </w:tcMar>
          </w:tcPr>
          <w:p>
            <w:r>
              <w:rPr>
                <w:b w:val="false"/>
                <w:bCs w:val="false"/>
                <w:sz w:val="17"/>
                <w:szCs w:val="17"/>
              </w:rPr>
              <w:t xml:space="preserve">HR18-1-1 includes formal-title confirmation (§0.1 — EXACT MATCH against reconciled v3.0 register, no correction needed),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Human-Primary organizational readiness doctrine; HR focus: doctrine/accountability model.</w:t>
            </w:r>
          </w:p>
        </w:tc>
        <w:tc>
          <w:tcPr>
            <w:tcW w:type="dxa" w:w="2600"/>
            <w:tcMar>
              <w:top w:type="dxa" w:w="60"/>
              <w:left w:type="dxa" w:w="80"/>
              <w:bottom w:type="dxa" w:w="60"/>
              <w:right w:type="dxa" w:w="80"/>
            </w:tcMar>
          </w:tcPr>
          <w:p>
            <w:r>
              <w:rPr>
                <w:b w:val="false"/>
                <w:bCs w:val="false"/>
                <w:sz w:val="17"/>
                <w:szCs w:val="17"/>
              </w:rPr>
              <w:t xml:space="preserve">§2.1-2.2, Table 3 (RACI), HR18-2-1.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Approved baseline &amp; handover preconditions; HR focus: mandatory handover prerequisites.</w:t>
            </w:r>
          </w:p>
        </w:tc>
        <w:tc>
          <w:tcPr>
            <w:tcW w:type="dxa" w:w="2600"/>
            <w:tcMar>
              <w:top w:type="dxa" w:w="60"/>
              <w:left w:type="dxa" w:w="80"/>
              <w:bottom w:type="dxa" w:w="60"/>
              <w:right w:type="dxa" w:w="80"/>
            </w:tcMar>
          </w:tcPr>
          <w:p>
            <w:r>
              <w:rPr>
                <w:b w:val="false"/>
                <w:bCs w:val="false"/>
                <w:sz w:val="17"/>
                <w:szCs w:val="17"/>
              </w:rPr>
              <w:t xml:space="preserve">§3.1-3.2, Table 4 HR1-17 Dependency Matrix (item 70), Table 5 (RACI), HR18-3-1.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Handover governance model; HR focus: handover stages/decision authorities.</w:t>
            </w:r>
          </w:p>
        </w:tc>
        <w:tc>
          <w:tcPr>
            <w:tcW w:type="dxa" w:w="2600"/>
            <w:tcMar>
              <w:top w:type="dxa" w:w="60"/>
              <w:left w:type="dxa" w:w="80"/>
              <w:bottom w:type="dxa" w:w="60"/>
              <w:right w:type="dxa" w:w="80"/>
            </w:tcMar>
          </w:tcPr>
          <w:p>
            <w:r>
              <w:rPr>
                <w:b w:val="false"/>
                <w:bCs w:val="false"/>
                <w:sz w:val="17"/>
                <w:szCs w:val="17"/>
              </w:rPr>
              <w:t xml:space="preserve">§4.1-4.3, Table 6 Handover-Stage Matrix (item 64), Table 7 (RACI), HR18-4-1.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Organizational capability model; HR focus: required institutional capability domains.</w:t>
            </w:r>
          </w:p>
        </w:tc>
        <w:tc>
          <w:tcPr>
            <w:tcW w:type="dxa" w:w="2600"/>
            <w:tcMar>
              <w:top w:type="dxa" w:w="60"/>
              <w:left w:type="dxa" w:w="80"/>
              <w:bottom w:type="dxa" w:w="60"/>
              <w:right w:type="dxa" w:w="80"/>
            </w:tcMar>
          </w:tcPr>
          <w:p>
            <w:r>
              <w:rPr>
                <w:b w:val="false"/>
                <w:bCs w:val="false"/>
                <w:sz w:val="17"/>
                <w:szCs w:val="17"/>
              </w:rPr>
              <w:t xml:space="preserve">§5.1-5.2, Table 8 Organizational Capability Matrix (item 62), Table 9 (RACI), HR18-5-1.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Operational role &amp; responsibility catalogue; HR focus: role catalogue/appointment authority.</w:t>
            </w:r>
          </w:p>
        </w:tc>
        <w:tc>
          <w:tcPr>
            <w:tcW w:type="dxa" w:w="2600"/>
            <w:tcMar>
              <w:top w:type="dxa" w:w="60"/>
              <w:left w:type="dxa" w:w="80"/>
              <w:bottom w:type="dxa" w:w="60"/>
              <w:right w:type="dxa" w:w="80"/>
            </w:tcMar>
          </w:tcPr>
          <w:p>
            <w:r>
              <w:rPr>
                <w:b w:val="false"/>
                <w:bCs w:val="false"/>
                <w:sz w:val="17"/>
                <w:szCs w:val="17"/>
              </w:rPr>
              <w:t xml:space="preserve">§6.1-6.2, Table 10 (RACI), HR18-6-1.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Staffing requirement &amp; capacity planning; HR focus: staffing/capacity planning authority.</w:t>
            </w:r>
          </w:p>
        </w:tc>
        <w:tc>
          <w:tcPr>
            <w:tcW w:type="dxa" w:w="2600"/>
            <w:tcMar>
              <w:top w:type="dxa" w:w="60"/>
              <w:left w:type="dxa" w:w="80"/>
              <w:bottom w:type="dxa" w:w="60"/>
              <w:right w:type="dxa" w:w="80"/>
            </w:tcMar>
          </w:tcPr>
          <w:p>
            <w:r>
              <w:rPr>
                <w:b w:val="false"/>
                <w:bCs w:val="false"/>
                <w:sz w:val="17"/>
                <w:szCs w:val="17"/>
              </w:rPr>
              <w:t xml:space="preserve">§7.1-7.2, Table 11 (RACI), HR18-7-1.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Skills, competency &amp; qualification framework; HR focus: competency/qualification requirements.</w:t>
            </w:r>
          </w:p>
        </w:tc>
        <w:tc>
          <w:tcPr>
            <w:tcW w:type="dxa" w:w="2600"/>
            <w:tcMar>
              <w:top w:type="dxa" w:w="60"/>
              <w:left w:type="dxa" w:w="80"/>
              <w:bottom w:type="dxa" w:w="60"/>
              <w:right w:type="dxa" w:w="80"/>
            </w:tcMar>
          </w:tcPr>
          <w:p>
            <w:r>
              <w:rPr>
                <w:b w:val="false"/>
                <w:bCs w:val="false"/>
                <w:sz w:val="17"/>
                <w:szCs w:val="17"/>
              </w:rPr>
              <w:t xml:space="preserve">§8.1-8.2, Table 12 (RACI), HR18-8-1.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Segregation of duties &amp; role conflict control; HR focus: SoD conflicts/exception authority.</w:t>
            </w:r>
          </w:p>
        </w:tc>
        <w:tc>
          <w:tcPr>
            <w:tcW w:type="dxa" w:w="2600"/>
            <w:tcMar>
              <w:top w:type="dxa" w:w="60"/>
              <w:left w:type="dxa" w:w="80"/>
              <w:bottom w:type="dxa" w:w="60"/>
              <w:right w:type="dxa" w:w="80"/>
            </w:tcMar>
          </w:tcPr>
          <w:p>
            <w:r>
              <w:rPr>
                <w:b w:val="false"/>
                <w:bCs w:val="false"/>
                <w:sz w:val="17"/>
                <w:szCs w:val="17"/>
              </w:rPr>
              <w:t xml:space="preserve">§9.1-9.2, Table 13 (RACI), HR18-9-1.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HR18-9-1 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Operational ownership by platform domain; HR focus: platform-domain ownership roles.</w:t>
            </w:r>
          </w:p>
        </w:tc>
        <w:tc>
          <w:tcPr>
            <w:tcW w:type="dxa" w:w="2600"/>
            <w:tcMar>
              <w:top w:type="dxa" w:w="60"/>
              <w:left w:type="dxa" w:w="80"/>
              <w:bottom w:type="dxa" w:w="60"/>
              <w:right w:type="dxa" w:w="80"/>
            </w:tcMar>
          </w:tcPr>
          <w:p>
            <w:r>
              <w:rPr>
                <w:b w:val="false"/>
                <w:bCs w:val="false"/>
                <w:sz w:val="17"/>
                <w:szCs w:val="17"/>
              </w:rPr>
              <w:t xml:space="preserve">§10.1-10.2, Table 14 Operational Ownership Matrix (item 63), Table 15 (RACI), HR18-10-1.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Service ownership &amp; accountability model; HR focus: service-owner/support-owner model.</w:t>
            </w:r>
          </w:p>
        </w:tc>
        <w:tc>
          <w:tcPr>
            <w:tcW w:type="dxa" w:w="2600"/>
            <w:tcMar>
              <w:top w:type="dxa" w:w="60"/>
              <w:left w:type="dxa" w:w="80"/>
              <w:bottom w:type="dxa" w:w="60"/>
              <w:right w:type="dxa" w:w="80"/>
            </w:tcMar>
          </w:tcPr>
          <w:p>
            <w:r>
              <w:rPr>
                <w:b w:val="false"/>
                <w:bCs w:val="false"/>
                <w:sz w:val="17"/>
                <w:szCs w:val="17"/>
              </w:rPr>
              <w:t xml:space="preserve">§11.1-11.2, Table 16 (RACI), HR18-11-1.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Runbook ownership &amp; procedure governance; HR focus: runbook ownership/review authority.</w:t>
            </w:r>
          </w:p>
        </w:tc>
        <w:tc>
          <w:tcPr>
            <w:tcW w:type="dxa" w:w="2600"/>
            <w:tcMar>
              <w:top w:type="dxa" w:w="60"/>
              <w:left w:type="dxa" w:w="80"/>
              <w:bottom w:type="dxa" w:w="60"/>
              <w:right w:type="dxa" w:w="80"/>
            </w:tcMar>
          </w:tcPr>
          <w:p>
            <w:r>
              <w:rPr>
                <w:b w:val="false"/>
                <w:bCs w:val="false"/>
                <w:sz w:val="17"/>
                <w:szCs w:val="17"/>
              </w:rPr>
              <w:t xml:space="preserve">§12.1-12.2, Table 17 (RACI), HR18-12-1.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Administration Plane ownership; HR focus: Administration Plane ownership.</w:t>
            </w:r>
          </w:p>
        </w:tc>
        <w:tc>
          <w:tcPr>
            <w:tcW w:type="dxa" w:w="2600"/>
            <w:tcMar>
              <w:top w:type="dxa" w:w="60"/>
              <w:left w:type="dxa" w:w="80"/>
              <w:bottom w:type="dxa" w:w="60"/>
              <w:right w:type="dxa" w:w="80"/>
            </w:tcMar>
          </w:tcPr>
          <w:p>
            <w:r>
              <w:rPr>
                <w:b w:val="false"/>
                <w:bCs w:val="false"/>
                <w:sz w:val="17"/>
                <w:szCs w:val="17"/>
              </w:rPr>
              <w:t xml:space="preserve">§13.1-13.2, Table 18 (RACI), HR18-13-1.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HR18-13-1 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IAM, security &amp; privileged-operations ownership; HR focus: security/IAM/PAM operational ownership.</w:t>
            </w:r>
          </w:p>
        </w:tc>
        <w:tc>
          <w:tcPr>
            <w:tcW w:type="dxa" w:w="2600"/>
            <w:tcMar>
              <w:top w:type="dxa" w:w="60"/>
              <w:left w:type="dxa" w:w="80"/>
              <w:bottom w:type="dxa" w:w="60"/>
              <w:right w:type="dxa" w:w="80"/>
            </w:tcMar>
          </w:tcPr>
          <w:p>
            <w:r>
              <w:rPr>
                <w:b w:val="false"/>
                <w:bCs w:val="false"/>
                <w:sz w:val="17"/>
                <w:szCs w:val="17"/>
              </w:rPr>
              <w:t xml:space="preserve">§14.1-14.2, Table 19 (RACI), HR18-14-1.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HR18-14-1 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Data stewardship &amp; persistence-operations ownership; HR focus: data stewardship/persistence ownership.</w:t>
            </w:r>
          </w:p>
        </w:tc>
        <w:tc>
          <w:tcPr>
            <w:tcW w:type="dxa" w:w="2600"/>
            <w:tcMar>
              <w:top w:type="dxa" w:w="60"/>
              <w:left w:type="dxa" w:w="80"/>
              <w:bottom w:type="dxa" w:w="60"/>
              <w:right w:type="dxa" w:w="80"/>
            </w:tcMar>
          </w:tcPr>
          <w:p>
            <w:r>
              <w:rPr>
                <w:b w:val="false"/>
                <w:bCs w:val="false"/>
                <w:sz w:val="17"/>
                <w:szCs w:val="17"/>
              </w:rPr>
              <w:t xml:space="preserve">§15.1-15.2, Table 20 (RACI), HR18-15-1.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ARGUS, AI, Agent, Model, Tool &amp; VPF operational ownership; HR focus: AI/Agent service ownership/escalation.</w:t>
            </w:r>
          </w:p>
        </w:tc>
        <w:tc>
          <w:tcPr>
            <w:tcW w:type="dxa" w:w="2600"/>
            <w:tcMar>
              <w:top w:type="dxa" w:w="60"/>
              <w:left w:type="dxa" w:w="80"/>
              <w:bottom w:type="dxa" w:w="60"/>
              <w:right w:type="dxa" w:w="80"/>
            </w:tcMar>
          </w:tcPr>
          <w:p>
            <w:r>
              <w:rPr>
                <w:b w:val="false"/>
                <w:bCs w:val="false"/>
                <w:sz w:val="17"/>
                <w:szCs w:val="17"/>
              </w:rPr>
              <w:t xml:space="preserve">§16.1-16.2, Table 21 (RACI), HR18-16-1.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HR18-16-1 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Evidence, provenance &amp; audit operational ownership; HR focus: Evidence/audit operational ownership.</w:t>
            </w:r>
          </w:p>
        </w:tc>
        <w:tc>
          <w:tcPr>
            <w:tcW w:type="dxa" w:w="2600"/>
            <w:tcMar>
              <w:top w:type="dxa" w:w="60"/>
              <w:left w:type="dxa" w:w="80"/>
              <w:bottom w:type="dxa" w:w="60"/>
              <w:right w:type="dxa" w:w="80"/>
            </w:tcMar>
          </w:tcPr>
          <w:p>
            <w:r>
              <w:rPr>
                <w:b w:val="false"/>
                <w:bCs w:val="false"/>
                <w:sz w:val="17"/>
                <w:szCs w:val="17"/>
              </w:rPr>
              <w:t xml:space="preserve">§17.1-17.2, Table 22 (RACI), HR18-17-1.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API, integration &amp; connector operational ownership; HR focus: integration/provider operational ownership.</w:t>
            </w:r>
          </w:p>
        </w:tc>
        <w:tc>
          <w:tcPr>
            <w:tcW w:type="dxa" w:w="2600"/>
            <w:tcMar>
              <w:top w:type="dxa" w:w="60"/>
              <w:left w:type="dxa" w:w="80"/>
              <w:bottom w:type="dxa" w:w="60"/>
              <w:right w:type="dxa" w:w="80"/>
            </w:tcMar>
          </w:tcPr>
          <w:p>
            <w:r>
              <w:rPr>
                <w:b w:val="false"/>
                <w:bCs w:val="false"/>
                <w:sz w:val="17"/>
                <w:szCs w:val="17"/>
              </w:rPr>
              <w:t xml:space="preserve">§18.1-18.2, Table 23 (RACI), HR18-18-1.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Functional Module &amp; domain operational ownership; HR focus: Functional Module operational ownership.</w:t>
            </w:r>
          </w:p>
        </w:tc>
        <w:tc>
          <w:tcPr>
            <w:tcW w:type="dxa" w:w="2600"/>
            <w:tcMar>
              <w:top w:type="dxa" w:w="60"/>
              <w:left w:type="dxa" w:w="80"/>
              <w:bottom w:type="dxa" w:w="60"/>
              <w:right w:type="dxa" w:w="80"/>
            </w:tcMar>
          </w:tcPr>
          <w:p>
            <w:r>
              <w:rPr>
                <w:b w:val="false"/>
                <w:bCs w:val="false"/>
                <w:sz w:val="17"/>
                <w:szCs w:val="17"/>
              </w:rPr>
              <w:t xml:space="preserve">§19.1-19.2, Table 24 (RACI), HR18-19-1.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HR18-19-1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UX/UI &amp; user-support ownership; HR focus: UX/user-support ownership.</w:t>
            </w:r>
          </w:p>
        </w:tc>
        <w:tc>
          <w:tcPr>
            <w:tcW w:type="dxa" w:w="2600"/>
            <w:tcMar>
              <w:top w:type="dxa" w:w="60"/>
              <w:left w:type="dxa" w:w="80"/>
              <w:bottom w:type="dxa" w:w="60"/>
              <w:right w:type="dxa" w:w="80"/>
            </w:tcMar>
          </w:tcPr>
          <w:p>
            <w:r>
              <w:rPr>
                <w:b w:val="false"/>
                <w:bCs w:val="false"/>
                <w:sz w:val="17"/>
                <w:szCs w:val="17"/>
              </w:rPr>
              <w:t xml:space="preserve">§20.1-20.2, Table 25 (RACI), HR18-20-1.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HR18-20-1 classified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DevSecOps, infrastructure &amp; deployment ownership; HR focus: DevSecOps/platform ownership.</w:t>
            </w:r>
          </w:p>
        </w:tc>
        <w:tc>
          <w:tcPr>
            <w:tcW w:type="dxa" w:w="2600"/>
            <w:tcMar>
              <w:top w:type="dxa" w:w="60"/>
              <w:left w:type="dxa" w:w="80"/>
              <w:bottom w:type="dxa" w:w="60"/>
              <w:right w:type="dxa" w:w="80"/>
            </w:tcMar>
          </w:tcPr>
          <w:p>
            <w:r>
              <w:rPr>
                <w:b w:val="false"/>
                <w:bCs w:val="false"/>
                <w:sz w:val="17"/>
                <w:szCs w:val="17"/>
              </w:rPr>
              <w:t xml:space="preserve">§21.1-21.2, Table 26 (RACI), HR18-21-1.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HR18-21-1 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Testing, verification &amp; acceptance handover; HR focus: acceptance/sign-off transition authority.</w:t>
            </w:r>
          </w:p>
        </w:tc>
        <w:tc>
          <w:tcPr>
            <w:tcW w:type="dxa" w:w="2600"/>
            <w:tcMar>
              <w:top w:type="dxa" w:w="60"/>
              <w:left w:type="dxa" w:w="80"/>
              <w:bottom w:type="dxa" w:w="60"/>
              <w:right w:type="dxa" w:w="80"/>
            </w:tcMar>
          </w:tcPr>
          <w:p>
            <w:r>
              <w:rPr>
                <w:b w:val="false"/>
                <w:bCs w:val="false"/>
                <w:sz w:val="17"/>
                <w:szCs w:val="17"/>
              </w:rPr>
              <w:t xml:space="preserve">§22.1-22.2, Table 27 (RACI), HR18-22-1.</w:t>
            </w:r>
          </w:p>
        </w:tc>
        <w:tc>
          <w:tcPr>
            <w:tcW w:type="dxa" w:w="2400"/>
            <w:tcMar>
              <w:top w:type="dxa" w:w="60"/>
              <w:left w:type="dxa" w:w="80"/>
              <w:bottom w:type="dxa" w:w="60"/>
              <w:right w:type="dxa" w:w="80"/>
            </w:tcMar>
          </w:tcPr>
          <w:p>
            <w:r>
              <w:rPr>
                <w:b w:val="false"/>
                <w:bCs w:val="false"/>
                <w:sz w:val="17"/>
                <w:szCs w:val="17"/>
              </w:rPr>
              <w:t xml:space="preserve">NCIE-016 v1.0.</w:t>
            </w:r>
          </w:p>
        </w:tc>
        <w:tc>
          <w:tcPr>
            <w:tcW w:type="dxa" w:w="2400"/>
            <w:tcMar>
              <w:top w:type="dxa" w:w="60"/>
              <w:left w:type="dxa" w:w="80"/>
              <w:bottom w:type="dxa" w:w="60"/>
              <w:right w:type="dxa" w:w="80"/>
            </w:tcMar>
          </w:tcPr>
          <w:p>
            <w:r>
              <w:rPr>
                <w:b w:val="false"/>
                <w:bCs w:val="false"/>
                <w:sz w:val="17"/>
                <w:szCs w:val="17"/>
              </w:rPr>
              <w:t xml:space="preserve">HR18-22-1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Implementation Roadmap-to-Operations transition; HR focus: roadmap-to-operations transition authority.</w:t>
            </w:r>
          </w:p>
        </w:tc>
        <w:tc>
          <w:tcPr>
            <w:tcW w:type="dxa" w:w="2600"/>
            <w:tcMar>
              <w:top w:type="dxa" w:w="60"/>
              <w:left w:type="dxa" w:w="80"/>
              <w:bottom w:type="dxa" w:w="60"/>
              <w:right w:type="dxa" w:w="80"/>
            </w:tcMar>
          </w:tcPr>
          <w:p>
            <w:r>
              <w:rPr>
                <w:b w:val="false"/>
                <w:bCs w:val="false"/>
                <w:sz w:val="17"/>
                <w:szCs w:val="17"/>
              </w:rPr>
              <w:t xml:space="preserve">§23.1-23.2, Table 28 (RACI), HR18-23-1.</w:t>
            </w:r>
          </w:p>
        </w:tc>
        <w:tc>
          <w:tcPr>
            <w:tcW w:type="dxa" w:w="2400"/>
            <w:tcMar>
              <w:top w:type="dxa" w:w="60"/>
              <w:left w:type="dxa" w:w="80"/>
              <w:bottom w:type="dxa" w:w="60"/>
              <w:right w:type="dxa" w:w="80"/>
            </w:tcMar>
          </w:tcPr>
          <w:p>
            <w:r>
              <w:rPr>
                <w:b w:val="false"/>
                <w:bCs w:val="false"/>
                <w:sz w:val="17"/>
                <w:szCs w:val="17"/>
              </w:rPr>
              <w:t xml:space="preserve">NCIE-017 v1.0; NCIE-002 Ch.32.</w:t>
            </w:r>
          </w:p>
        </w:tc>
        <w:tc>
          <w:tcPr>
            <w:tcW w:type="dxa" w:w="2400"/>
            <w:tcMar>
              <w:top w:type="dxa" w:w="60"/>
              <w:left w:type="dxa" w:w="80"/>
              <w:bottom w:type="dxa" w:w="60"/>
              <w:right w:type="dxa" w:w="80"/>
            </w:tcMar>
          </w:tcPr>
          <w:p>
            <w:r>
              <w:rPr>
                <w:b w:val="false"/>
                <w:bCs w:val="false"/>
                <w:sz w:val="17"/>
                <w:szCs w:val="17"/>
              </w:rPr>
              <w:t xml:space="preserve">HR18-23-1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Knowledge transfer &amp; documentation handover; HR focus: knowledge-transfer completion authority.</w:t>
            </w:r>
          </w:p>
        </w:tc>
        <w:tc>
          <w:tcPr>
            <w:tcW w:type="dxa" w:w="2600"/>
            <w:tcMar>
              <w:top w:type="dxa" w:w="60"/>
              <w:left w:type="dxa" w:w="80"/>
              <w:bottom w:type="dxa" w:w="60"/>
              <w:right w:type="dxa" w:w="80"/>
            </w:tcMar>
          </w:tcPr>
          <w:p>
            <w:r>
              <w:rPr>
                <w:b w:val="false"/>
                <w:bCs w:val="false"/>
                <w:sz w:val="17"/>
                <w:szCs w:val="17"/>
              </w:rPr>
              <w:t xml:space="preserve">§24.1-24.2, Table 29 Knowledge-Transfer Matrix (item 66), Table 30 (RACI), HR18-24-1.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Training, enablement &amp; operational qualification; HR focus: training/qualification authority.</w:t>
            </w:r>
          </w:p>
        </w:tc>
        <w:tc>
          <w:tcPr>
            <w:tcW w:type="dxa" w:w="2600"/>
            <w:tcMar>
              <w:top w:type="dxa" w:w="60"/>
              <w:left w:type="dxa" w:w="80"/>
              <w:bottom w:type="dxa" w:w="60"/>
              <w:right w:type="dxa" w:w="80"/>
            </w:tcMar>
          </w:tcPr>
          <w:p>
            <w:r>
              <w:rPr>
                <w:b w:val="false"/>
                <w:bCs w:val="false"/>
                <w:sz w:val="17"/>
                <w:szCs w:val="17"/>
              </w:rPr>
              <w:t xml:space="preserve">§25.1-25.2, Table 31 Training/Qualification Matrix (item 67), Table 32 (RACI), HR18-25-1.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Access provisioning &amp; credential-separation governance; HR focus: access-provisioning authority/separation.</w:t>
            </w:r>
          </w:p>
        </w:tc>
        <w:tc>
          <w:tcPr>
            <w:tcW w:type="dxa" w:w="2600"/>
            <w:tcMar>
              <w:top w:type="dxa" w:w="60"/>
              <w:left w:type="dxa" w:w="80"/>
              <w:bottom w:type="dxa" w:w="60"/>
              <w:right w:type="dxa" w:w="80"/>
            </w:tcMar>
          </w:tcPr>
          <w:p>
            <w:r>
              <w:rPr>
                <w:b w:val="false"/>
                <w:bCs w:val="false"/>
                <w:sz w:val="17"/>
                <w:szCs w:val="17"/>
              </w:rPr>
              <w:t xml:space="preserve">§26.1-26.2, Table 33 Role-to-Access Matrix (item 65), Table 34 (RACI), HR18-26-1.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HR18-26-1 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On-call, escalation &amp; duty-coverage governance; HR focus: on-call/duty-coverage model.</w:t>
            </w:r>
          </w:p>
        </w:tc>
        <w:tc>
          <w:tcPr>
            <w:tcW w:type="dxa" w:w="2600"/>
            <w:tcMar>
              <w:top w:type="dxa" w:w="60"/>
              <w:left w:type="dxa" w:w="80"/>
              <w:bottom w:type="dxa" w:w="60"/>
              <w:right w:type="dxa" w:w="80"/>
            </w:tcMar>
          </w:tcPr>
          <w:p>
            <w:r>
              <w:rPr>
                <w:b w:val="false"/>
                <w:bCs w:val="false"/>
                <w:sz w:val="17"/>
                <w:szCs w:val="17"/>
              </w:rPr>
              <w:t xml:space="preserve">§27.1-27.2, Table 35 (RACI), HR18-27-1.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Incident, problem &amp; emergency-authority handover; HR focus: incident/emergency operational authority.</w:t>
            </w:r>
          </w:p>
        </w:tc>
        <w:tc>
          <w:tcPr>
            <w:tcW w:type="dxa" w:w="2600"/>
            <w:tcMar>
              <w:top w:type="dxa" w:w="60"/>
              <w:left w:type="dxa" w:w="80"/>
              <w:bottom w:type="dxa" w:w="60"/>
              <w:right w:type="dxa" w:w="80"/>
            </w:tcMar>
          </w:tcPr>
          <w:p>
            <w:r>
              <w:rPr>
                <w:b w:val="false"/>
                <w:bCs w:val="false"/>
                <w:sz w:val="17"/>
                <w:szCs w:val="17"/>
              </w:rPr>
              <w:t xml:space="preserve">§28.1-28.2, Table 36 (RACI), HR18-28-1.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Change, release &amp; configuration governance handover; HR focus: change/release/configuration ownership.</w:t>
            </w:r>
          </w:p>
        </w:tc>
        <w:tc>
          <w:tcPr>
            <w:tcW w:type="dxa" w:w="2600"/>
            <w:tcMar>
              <w:top w:type="dxa" w:w="60"/>
              <w:left w:type="dxa" w:w="80"/>
              <w:bottom w:type="dxa" w:w="60"/>
              <w:right w:type="dxa" w:w="80"/>
            </w:tcMar>
          </w:tcPr>
          <w:p>
            <w:r>
              <w:rPr>
                <w:b w:val="false"/>
                <w:bCs w:val="false"/>
                <w:sz w:val="17"/>
                <w:szCs w:val="17"/>
              </w:rPr>
              <w:t xml:space="preserve">§29.1-29.2, Table 37 (RACI), HR18-29-1.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HR18-29-1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30</w:t>
            </w:r>
          </w:p>
        </w:tc>
        <w:tc>
          <w:tcPr>
            <w:tcW w:type="dxa" w:w="3200"/>
            <w:tcMar>
              <w:top w:type="dxa" w:w="60"/>
              <w:left w:type="dxa" w:w="80"/>
              <w:bottom w:type="dxa" w:w="60"/>
              <w:right w:type="dxa" w:w="80"/>
            </w:tcMar>
          </w:tcPr>
          <w:p>
            <w:r>
              <w:rPr>
                <w:b w:val="false"/>
                <w:bCs w:val="false"/>
                <w:sz w:val="17"/>
                <w:szCs w:val="17"/>
              </w:rPr>
              <w:t xml:space="preserve">Vendor, provider &amp; external-support governance; HR focus: vendor/provider support governance.</w:t>
            </w:r>
          </w:p>
        </w:tc>
        <w:tc>
          <w:tcPr>
            <w:tcW w:type="dxa" w:w="2600"/>
            <w:tcMar>
              <w:top w:type="dxa" w:w="60"/>
              <w:left w:type="dxa" w:w="80"/>
              <w:bottom w:type="dxa" w:w="60"/>
              <w:right w:type="dxa" w:w="80"/>
            </w:tcMar>
          </w:tcPr>
          <w:p>
            <w:r>
              <w:rPr>
                <w:b w:val="false"/>
                <w:bCs w:val="false"/>
                <w:sz w:val="17"/>
                <w:szCs w:val="17"/>
              </w:rPr>
              <w:t xml:space="preserve">§30.1-30.2, Table 38 (RACI), HR18-30-1.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HR18-30-1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31</w:t>
            </w:r>
          </w:p>
        </w:tc>
        <w:tc>
          <w:tcPr>
            <w:tcW w:type="dxa" w:w="3200"/>
            <w:tcMar>
              <w:top w:type="dxa" w:w="60"/>
              <w:left w:type="dxa" w:w="80"/>
              <w:bottom w:type="dxa" w:w="60"/>
              <w:right w:type="dxa" w:w="80"/>
            </w:tcMar>
          </w:tcPr>
          <w:p>
            <w:r>
              <w:rPr>
                <w:b w:val="false"/>
                <w:bCs w:val="false"/>
                <w:sz w:val="17"/>
                <w:szCs w:val="17"/>
              </w:rPr>
              <w:t xml:space="preserve">Operational service catalogue &amp; support model; HR focus: service catalogue/support model.</w:t>
            </w:r>
          </w:p>
        </w:tc>
        <w:tc>
          <w:tcPr>
            <w:tcW w:type="dxa" w:w="2600"/>
            <w:tcMar>
              <w:top w:type="dxa" w:w="60"/>
              <w:left w:type="dxa" w:w="80"/>
              <w:bottom w:type="dxa" w:w="60"/>
              <w:right w:type="dxa" w:w="80"/>
            </w:tcMar>
          </w:tcPr>
          <w:p>
            <w:r>
              <w:rPr>
                <w:b w:val="false"/>
                <w:bCs w:val="false"/>
                <w:sz w:val="17"/>
                <w:szCs w:val="17"/>
              </w:rPr>
              <w:t xml:space="preserve">§31.1-31.2, Table 39 (RACI), HR18-31-1.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HR18-31-1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32</w:t>
            </w:r>
          </w:p>
        </w:tc>
        <w:tc>
          <w:tcPr>
            <w:tcW w:type="dxa" w:w="3200"/>
            <w:tcMar>
              <w:top w:type="dxa" w:w="60"/>
              <w:left w:type="dxa" w:w="80"/>
              <w:bottom w:type="dxa" w:w="60"/>
              <w:right w:type="dxa" w:w="80"/>
            </w:tcMar>
          </w:tcPr>
          <w:p>
            <w:r>
              <w:rPr>
                <w:b w:val="false"/>
                <w:bCs w:val="false"/>
                <w:sz w:val="17"/>
                <w:szCs w:val="17"/>
              </w:rPr>
              <w:t xml:space="preserve">Operational readiness assessment; HR focus: readiness assessment/recommendation authority.</w:t>
            </w:r>
          </w:p>
        </w:tc>
        <w:tc>
          <w:tcPr>
            <w:tcW w:type="dxa" w:w="2600"/>
            <w:tcMar>
              <w:top w:type="dxa" w:w="60"/>
              <w:left w:type="dxa" w:w="80"/>
              <w:bottom w:type="dxa" w:w="60"/>
              <w:right w:type="dxa" w:w="80"/>
            </w:tcMar>
          </w:tcPr>
          <w:p>
            <w:r>
              <w:rPr>
                <w:b w:val="false"/>
                <w:bCs w:val="false"/>
                <w:sz w:val="17"/>
                <w:szCs w:val="17"/>
              </w:rPr>
              <w:t xml:space="preserve">§32.1-32.2, Table 40 Readiness-Assessment Matrix (item 68), Table 41 (RACI), HR18-32-1.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HR18-32-1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33</w:t>
            </w:r>
          </w:p>
        </w:tc>
        <w:tc>
          <w:tcPr>
            <w:tcW w:type="dxa" w:w="3200"/>
            <w:tcMar>
              <w:top w:type="dxa" w:w="60"/>
              <w:left w:type="dxa" w:w="80"/>
              <w:bottom w:type="dxa" w:w="60"/>
              <w:right w:type="dxa" w:w="80"/>
            </w:tcMar>
          </w:tcPr>
          <w:p>
            <w:r>
              <w:rPr>
                <w:b w:val="false"/>
                <w:bCs w:val="false"/>
                <w:sz w:val="17"/>
                <w:szCs w:val="17"/>
              </w:rPr>
              <w:t xml:space="preserve">Residual risk, known limitations &amp; open-issue transfer; HR focus: residual-risk/open-issue transfer authority.</w:t>
            </w:r>
          </w:p>
        </w:tc>
        <w:tc>
          <w:tcPr>
            <w:tcW w:type="dxa" w:w="2600"/>
            <w:tcMar>
              <w:top w:type="dxa" w:w="60"/>
              <w:left w:type="dxa" w:w="80"/>
              <w:bottom w:type="dxa" w:w="60"/>
              <w:right w:type="dxa" w:w="80"/>
            </w:tcMar>
          </w:tcPr>
          <w:p>
            <w:r>
              <w:rPr>
                <w:b w:val="false"/>
                <w:bCs w:val="false"/>
                <w:sz w:val="17"/>
                <w:szCs w:val="17"/>
              </w:rPr>
              <w:t xml:space="preserve">§33.1-33.2, Table 42 Residual-Risk/Open-Issue Register (item 69), Table 43 (RACI), HR18-33-1.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HR18-33-1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34</w:t>
            </w:r>
          </w:p>
        </w:tc>
        <w:tc>
          <w:tcPr>
            <w:tcW w:type="dxa" w:w="3200"/>
            <w:tcMar>
              <w:top w:type="dxa" w:w="60"/>
              <w:left w:type="dxa" w:w="80"/>
              <w:bottom w:type="dxa" w:w="60"/>
              <w:right w:type="dxa" w:w="80"/>
            </w:tcMar>
          </w:tcPr>
          <w:p>
            <w:r>
              <w:rPr>
                <w:b w:val="false"/>
                <w:bCs w:val="false"/>
                <w:sz w:val="17"/>
                <w:szCs w:val="17"/>
              </w:rPr>
              <w:t xml:space="preserve">Post-handover assurance &amp; governance review; HR focus: post-handover assurance/review authority.</w:t>
            </w:r>
          </w:p>
        </w:tc>
        <w:tc>
          <w:tcPr>
            <w:tcW w:type="dxa" w:w="2600"/>
            <w:tcMar>
              <w:top w:type="dxa" w:w="60"/>
              <w:left w:type="dxa" w:w="80"/>
              <w:bottom w:type="dxa" w:w="60"/>
              <w:right w:type="dxa" w:w="80"/>
            </w:tcMar>
          </w:tcPr>
          <w:p>
            <w:r>
              <w:rPr>
                <w:b w:val="false"/>
                <w:bCs w:val="false"/>
                <w:sz w:val="17"/>
                <w:szCs w:val="17"/>
              </w:rPr>
              <w:t xml:space="preserve">§34.1-34.2, Table 44 (RACI), HR18-34-1.</w:t>
            </w:r>
          </w:p>
        </w:tc>
        <w:tc>
          <w:tcPr>
            <w:tcW w:type="dxa" w:w="2400"/>
            <w:tcMar>
              <w:top w:type="dxa" w:w="60"/>
              <w:left w:type="dxa" w:w="80"/>
              <w:bottom w:type="dxa" w:w="60"/>
              <w:right w:type="dxa" w:w="80"/>
            </w:tcMar>
          </w:tcPr>
          <w:p>
            <w:r>
              <w:rPr>
                <w:b w:val="false"/>
                <w:bCs w:val="false"/>
                <w:sz w:val="17"/>
                <w:szCs w:val="17"/>
              </w:rPr>
              <w:t xml:space="preserve">NCIE-001-017.</w:t>
            </w:r>
          </w:p>
        </w:tc>
        <w:tc>
          <w:tcPr>
            <w:tcW w:type="dxa" w:w="2400"/>
            <w:tcMar>
              <w:top w:type="dxa" w:w="60"/>
              <w:left w:type="dxa" w:w="80"/>
              <w:bottom w:type="dxa" w:w="60"/>
              <w:right w:type="dxa" w:w="80"/>
            </w:tcMar>
          </w:tcPr>
          <w:p>
            <w:r>
              <w:rPr>
                <w:b w:val="false"/>
                <w:bCs w:val="false"/>
                <w:sz w:val="17"/>
                <w:szCs w:val="17"/>
              </w:rPr>
              <w:t xml:space="preserve">HR18-34-1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35</w:t>
            </w:r>
          </w:p>
        </w:tc>
        <w:tc>
          <w:tcPr>
            <w:tcW w:type="dxa" w:w="3200"/>
            <w:tcMar>
              <w:top w:type="dxa" w:w="60"/>
              <w:left w:type="dxa" w:w="80"/>
              <w:bottom w:type="dxa" w:w="60"/>
              <w:right w:type="dxa" w:w="80"/>
            </w:tcMar>
          </w:tcPr>
          <w:p>
            <w:r>
              <w:rPr>
                <w:b w:val="false"/>
                <w:bCs w:val="false"/>
                <w:sz w:val="17"/>
                <w:szCs w:val="17"/>
              </w:rPr>
              <w:t xml:space="preserve">Human Review Register &amp; open handover decisions; HR focus: register/decide register items.</w:t>
            </w:r>
          </w:p>
        </w:tc>
        <w:tc>
          <w:tcPr>
            <w:tcW w:type="dxa" w:w="2600"/>
            <w:tcMar>
              <w:top w:type="dxa" w:w="60"/>
              <w:left w:type="dxa" w:w="80"/>
              <w:bottom w:type="dxa" w:w="60"/>
              <w:right w:type="dxa" w:w="80"/>
            </w:tcMar>
          </w:tcPr>
          <w:p>
            <w:r>
              <w:rPr>
                <w:b w:val="false"/>
                <w:bCs w:val="false"/>
                <w:sz w:val="17"/>
                <w:szCs w:val="17"/>
              </w:rPr>
              <w:t xml:space="preserve">§35.0-35.6, Table 45 (summary), Table 46 (complete register, 36 items), HR18-35-1.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71); approved Skeletal v0.1 Chapter 35 Salient Things to Note.</w:t>
            </w:r>
          </w:p>
        </w:tc>
        <w:tc>
          <w:tcPr>
            <w:tcW w:type="dxa" w:w="2400"/>
            <w:tcMar>
              <w:top w:type="dxa" w:w="60"/>
              <w:left w:type="dxa" w:w="80"/>
              <w:bottom w:type="dxa" w:w="60"/>
              <w:right w:type="dxa" w:w="80"/>
            </w:tcMar>
          </w:tcPr>
          <w:p>
            <w:r>
              <w:rPr>
                <w:b w:val="false"/>
                <w:bCs w:val="false"/>
                <w:sz w:val="17"/>
                <w:szCs w:val="17"/>
              </w:rPr>
              <w:t xml:space="preserve">HR18-35-1 (this chapter's own item) included in Table 46 and totals from the start — the NCIE-008 register-reconciliation defect and NCIE-009 salient-note omission were both designed around, not repeated. All 36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36</w:t>
            </w:r>
          </w:p>
        </w:tc>
        <w:tc>
          <w:tcPr>
            <w:tcW w:type="dxa" w:w="3200"/>
            <w:tcMar>
              <w:top w:type="dxa" w:w="60"/>
              <w:left w:type="dxa" w:w="80"/>
              <w:bottom w:type="dxa" w:w="60"/>
              <w:right w:type="dxa" w:w="80"/>
            </w:tcMar>
          </w:tcPr>
          <w:p>
            <w:r>
              <w:rPr>
                <w:b w:val="false"/>
                <w:bCs w:val="false"/>
                <w:sz w:val="17"/>
                <w:szCs w:val="17"/>
              </w:rPr>
              <w:t xml:space="preserve">Traceability, acceptance &amp; final institutional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§36.0-36.6, Table 47 (traceability matrix, 36 rows), Table 48 (final institutional handover, 3 rows), HR18-36-1.</w:t>
            </w:r>
          </w:p>
        </w:tc>
        <w:tc>
          <w:tcPr>
            <w:tcW w:type="dxa" w:w="2400"/>
            <w:tcMar>
              <w:top w:type="dxa" w:w="60"/>
              <w:left w:type="dxa" w:w="80"/>
              <w:bottom w:type="dxa" w:w="60"/>
              <w:right w:type="dxa" w:w="80"/>
            </w:tcMar>
          </w:tcPr>
          <w:p>
            <w:r>
              <w:rPr>
                <w:b w:val="false"/>
                <w:bCs w:val="false"/>
                <w:sz w:val="17"/>
                <w:szCs w:val="17"/>
              </w:rPr>
              <w:t xml:space="preserve">Approved NCIE-001-017; approved NCIE-018 Skeletal v0.1.</w:t>
            </w:r>
          </w:p>
        </w:tc>
        <w:tc>
          <w:tcPr>
            <w:tcW w:type="dxa" w:w="2400"/>
            <w:tcMar>
              <w:top w:type="dxa" w:w="60"/>
              <w:left w:type="dxa" w:w="80"/>
              <w:bottom w:type="dxa" w:w="60"/>
              <w:right w:type="dxa" w:w="80"/>
            </w:tcMar>
          </w:tcPr>
          <w:p>
            <w:r>
              <w:rPr>
                <w:b w:val="false"/>
                <w:bCs w:val="false"/>
                <w:sz w:val="17"/>
                <w:szCs w:val="17"/>
              </w:rPr>
              <w:t xml:space="preserve">HR18-36-1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Matrices/Registers Added (Directive Items 62-70)</w:t>
      </w:r>
    </w:p>
    <w:p>
      <w:pPr>
        <w:spacing w:after="200"/>
      </w:pPr>
      <w:r>
        <w:rPr>
          <w:sz w:val="19"/>
          <w:szCs w:val="19"/>
        </w:rPr>
        <w:t xml:space="preserve">Table 8 (Chapter 5) — Organizational Capability Matrix, mapping every platform/service domain to required capability, role class, authority boundary and SoD constraint using role classes only, never invented department names. Table 14 (Chapter 10) — Operational Ownership Matrix, mapping every NCIE-001-017 domain to operational owner, support role, governance authority and runbook owner without naming people. Table 6 (Chapter 4) — Handover-Stage Matrix, mapping seven stages from baseline confirmation through final handover. Table 33 (Chapter 26) — Role-to-Access Matrix, mapping role classes to access categories with zero credential values. Table 29 (Chapter 24) — Knowledge-Transfer Matrix. Table 31 (Chapter 25) — Training/Qualification Matrix, with every Assessment cell reading Not sourced. Table 40 (Chapter 32) — Readiness-Assessment Matrix, with every row reading IN DEVELOPMENT — NOT ASSESSED. Table 42 (Chapter 33) — Residual-Risk/Open-Issue Register, with every entry Recorded/Transferred, never accepted or resolved. Table 4 (Chapter 3) — HR1-17 Dependency Matrix, referencing upstream Blocking items without cloning them.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36 Human Review items total: 34 items from Chapters 1-34 (one per chapter, mechanically extracted from each chapter's own Human Review Focus bullet text), plus HR18-35-1 (Chapter 35's own item) and HR18-36-1 (Chapter 36's own item) — both defined once and included in the register from the start, per the lessons learned from the NCIE-008 v1.0 correction (register-reconciliation omission) and the NCIE-009 v1.0 correction (Salient Things to Note omission), rather than discovered afterward. Classification breakdown: 29 Institutional Confirmation Required, 5 Security/Sovereignty Confirmation Required, 1 Engineering/Infrastructure Discovery Required, 1 Resolved by Upstream Baseline. 34 Blocking / 2 Non-Blocking. Every NCIE-018 item was individually checked against the existing HR1–HR17 registers per directive item 25's upstream-deduplication rule; none was found to restate an identical question verbatim, and Blocking upstream items are intaken as explicit dependencies (Table 4) rather than cloned into HR18. No item manufactures closure of a decision the approved skeleton, the approved NCIE-008–017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NCIE-018 Skeletal v0.1 is substantively represented in the corresponding v1.0 chapter above, including an explicit Salient Things to Note subsection in all 36 chapters — independently re-verified against the final assembled document by a programmatic scan (directive item 84 / restart item 17), not assumed from the build script; none is omitted and none is conceptually inverted (Chapter 36 §36.3).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2026-09-16T13:41:56.686Z</dcterms:created>
  <dcterms:modified xsi:type="dcterms:W3CDTF">2026-09-16T13:41:56.691Z</dcterms:modified>
</cp:coreProperties>
</file>

<file path=docProps/custom.xml><?xml version="1.0" encoding="utf-8"?>
<Properties xmlns="http://schemas.openxmlformats.org/officeDocument/2006/custom-properties" xmlns:vt="http://schemas.openxmlformats.org/officeDocument/2006/docPropsVTypes"/>
</file>