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NCIE → CODEX</w:t>
        <w:br/>
        <w:t>MASTER PRODUCTION INSTRUCTION</w:t>
      </w:r>
    </w:p>
    <w:p>
      <w:pPr>
        <w:jc w:val="center"/>
      </w:pPr>
      <w:r>
        <w:rPr>
          <w:b/>
          <w:sz w:val="28"/>
        </w:rPr>
        <w:t>v1.0 — CONTROLLED IMPLEMENTATION EXECUTION INSTRUCTION</w:t>
      </w:r>
    </w:p>
    <w:p>
      <w:pPr>
        <w:jc w:val="center"/>
      </w:pPr>
      <w:r>
        <w:t>NCIE-001–018 • Documentation Suite v3.0 • Work-Package-Scoped Human Blocker Control</w:t>
      </w:r>
    </w:p>
    <w:p>
      <w:pPr>
        <w:pStyle w:val="Heading1"/>
      </w:pPr>
      <w:r>
        <w:t>Document Control</w:t>
      </w:r>
    </w:p>
    <w:tbl>
      <w:tblPr>
        <w:tblStyle w:val="TableGrid"/>
        <w:tblW w:type="auto" w:w="0"/>
        <w:tblLook w:firstColumn="1" w:firstRow="1" w:lastColumn="0" w:lastRow="0" w:noHBand="0" w:noVBand="1" w:val="04A0"/>
      </w:tblPr>
      <w:tblGrid>
        <w:gridCol w:w="5112"/>
        <w:gridCol w:w="5112"/>
      </w:tblGrid>
      <w:tr>
        <w:tc>
          <w:tcPr>
            <w:tcW w:type="dxa" w:w="5112"/>
          </w:tcPr>
          <w:p>
            <w:r>
              <w:t>Purpose</w:t>
            </w:r>
          </w:p>
        </w:tc>
        <w:tc>
          <w:tcPr>
            <w:tcW w:type="dxa" w:w="5112"/>
          </w:tcPr>
          <w:p>
            <w:r>
              <w:t>Provide Codex the single controlling instruction for implementation of the approved NCIE architecture.</w:t>
            </w:r>
          </w:p>
        </w:tc>
      </w:tr>
      <w:tr>
        <w:tc>
          <w:tcPr>
            <w:tcW w:type="dxa" w:w="5112"/>
          </w:tcPr>
          <w:p>
            <w:r>
              <w:t>Execution model</w:t>
            </w:r>
          </w:p>
        </w:tc>
        <w:tc>
          <w:tcPr>
            <w:tcW w:type="dxa" w:w="5112"/>
          </w:tcPr>
          <w:p>
            <w:r>
              <w:t>Controlled progressive implementation following NCIE-017 sequencing, with work-package-scoped blocker handling.</w:t>
            </w:r>
          </w:p>
        </w:tc>
      </w:tr>
      <w:tr>
        <w:tc>
          <w:tcPr>
            <w:tcW w:type="dxa" w:w="5112"/>
          </w:tcPr>
          <w:p>
            <w:r>
              <w:t>Architectural authority</w:t>
            </w:r>
          </w:p>
        </w:tc>
        <w:tc>
          <w:tcPr>
            <w:tcW w:type="dxa" w:w="5112"/>
          </w:tcPr>
          <w:p>
            <w:r>
              <w:t>NCIE-001–018 supplied in the NCIE Production Suite.</w:t>
            </w:r>
          </w:p>
        </w:tc>
      </w:tr>
      <w:tr>
        <w:tc>
          <w:tcPr>
            <w:tcW w:type="dxa" w:w="5112"/>
          </w:tcPr>
          <w:p>
            <w:r>
              <w:t>Suite index authority</w:t>
            </w:r>
          </w:p>
        </w:tc>
        <w:tc>
          <w:tcPr>
            <w:tcW w:type="dxa" w:w="5112"/>
          </w:tcPr>
          <w:p>
            <w:r>
              <w:t>NCIE Documentation Suite Production-Ready v3.0 RECONCILED.</w:t>
            </w:r>
          </w:p>
        </w:tc>
      </w:tr>
      <w:tr>
        <w:tc>
          <w:tcPr>
            <w:tcW w:type="dxa" w:w="5112"/>
          </w:tcPr>
          <w:p>
            <w:r>
              <w:t>Verification authority</w:t>
            </w:r>
          </w:p>
        </w:tc>
        <w:tc>
          <w:tcPr>
            <w:tcW w:type="dxa" w:w="5112"/>
          </w:tcPr>
          <w:p>
            <w:r>
              <w:t>NCIE-016 — Testing, Verification &amp; Acceptance Specification.</w:t>
            </w:r>
          </w:p>
        </w:tc>
      </w:tr>
      <w:tr>
        <w:tc>
          <w:tcPr>
            <w:tcW w:type="dxa" w:w="5112"/>
          </w:tcPr>
          <w:p>
            <w:r>
              <w:t>Implementation sequencing authority</w:t>
            </w:r>
          </w:p>
        </w:tc>
        <w:tc>
          <w:tcPr>
            <w:tcW w:type="dxa" w:w="5112"/>
          </w:tcPr>
          <w:p>
            <w:r>
              <w:t>NCIE-017 — Implementation Roadmap &amp; Build Plan.</w:t>
            </w:r>
          </w:p>
        </w:tc>
      </w:tr>
      <w:tr>
        <w:tc>
          <w:tcPr>
            <w:tcW w:type="dxa" w:w="5112"/>
          </w:tcPr>
          <w:p>
            <w:r>
              <w:t>Operational/deployment authority</w:t>
            </w:r>
          </w:p>
        </w:tc>
        <w:tc>
          <w:tcPr>
            <w:tcW w:type="dxa" w:w="5112"/>
          </w:tcPr>
          <w:p>
            <w:r>
              <w:t>NCIE-015 — DevSecOps, Infrastructure &amp; Deployment Specification.</w:t>
            </w:r>
          </w:p>
        </w:tc>
      </w:tr>
      <w:tr>
        <w:tc>
          <w:tcPr>
            <w:tcW w:type="dxa" w:w="5112"/>
          </w:tcPr>
          <w:p>
            <w:r>
              <w:t>Organizational handover authority</w:t>
            </w:r>
          </w:p>
        </w:tc>
        <w:tc>
          <w:tcPr>
            <w:tcW w:type="dxa" w:w="5112"/>
          </w:tcPr>
          <w:p>
            <w:r>
              <w:t>NCIE-018 — Operational Handover, Organizational Readiness &amp; Governance Specification.</w:t>
            </w:r>
          </w:p>
        </w:tc>
      </w:tr>
      <w:tr>
        <w:tc>
          <w:tcPr>
            <w:tcW w:type="dxa" w:w="5112"/>
          </w:tcPr>
          <w:p>
            <w:r>
              <w:t>Critical status boundary</w:t>
            </w:r>
          </w:p>
        </w:tc>
        <w:tc>
          <w:tcPr>
            <w:tcW w:type="dxa" w:w="5112"/>
          </w:tcPr>
          <w:p>
            <w:r>
              <w:t>This instruction authorizes controlled implementation work; it does not constitute test pass, production acceptance, residual-risk acceptance or go-live authorization.</w:t>
            </w:r>
          </w:p>
        </w:tc>
      </w:tr>
    </w:tbl>
    <w:p>
      <w:pPr>
        <w:pStyle w:val="Heading2"/>
      </w:pPr>
      <w:r>
        <w:t>1. Execution mandate</w:t>
      </w:r>
    </w:p>
    <w:p>
      <w:r>
        <w:t>Implement the NCIE system according to the supplied NCIE-001–018 controlled specifications. Follow NCIE-017 for build sequencing and work-package dependencies. Begin with sufficiently specified, dependency-ready work; do not reinterpret documentation approval as production acceptance.</w:t>
      </w:r>
    </w:p>
    <w:p>
      <w:pPr>
        <w:pStyle w:val="Heading2"/>
      </w:pPr>
      <w:r>
        <w:t>2. Source completeness check</w:t>
      </w:r>
    </w:p>
    <w:p>
      <w:r>
        <w:t>Before coding, inventory the supplied NCIE-001–018 files, the reconciled suite register, and supporting change/verification artifacts. Report missing or unreadable controlling files before implementing affected work.</w:t>
      </w:r>
    </w:p>
    <w:p>
      <w:pPr>
        <w:pStyle w:val="Heading2"/>
      </w:pPr>
      <w:r>
        <w:t>3. Authority hierarchy</w:t>
      </w:r>
    </w:p>
    <w:p>
      <w:r>
        <w:t>Use the current controlled NCIE document for substantive domain authority; use Documentation Suite v3.0 for suite indexing; use change/verification reports for provenance; use this Master Production Instruction for execution behavior. Do not let a historical artifact override a current controlled specification.</w:t>
      </w:r>
    </w:p>
    <w:p>
      <w:pPr>
        <w:pStyle w:val="Heading2"/>
      </w:pPr>
      <w:r>
        <w:t>4. Stable identifier rule</w:t>
      </w:r>
    </w:p>
    <w:p>
      <w:r>
        <w:t>Preserve NCIE IDs, requirement IDs, HR IDs, WBS/work-package IDs, test IDs, Evidence/provenance identifiers and other controlled references. Do not renumber them for coding convenience.</w:t>
      </w:r>
    </w:p>
    <w:p>
      <w:pPr>
        <w:pStyle w:val="Heading2"/>
      </w:pPr>
      <w:r>
        <w:t>5. Architecture fidelity</w:t>
      </w:r>
    </w:p>
    <w:p>
      <w:r>
        <w:t>Implement the architecture; do not redesign it. If implementation exposes a material contradiction, ambiguity or impossible dependency, stop the affected work package and report the exact source references.</w:t>
      </w:r>
    </w:p>
    <w:p>
      <w:pPr>
        <w:pStyle w:val="Heading2"/>
      </w:pPr>
      <w:r>
        <w:t>6. No silent invention</w:t>
      </w:r>
    </w:p>
    <w:p>
      <w:r>
        <w:t>Do not invent institutional policies, regulatory rules, data semantics, thresholds, Human authority, security exceptions, staffing decisions, acceptance criteria or unresolved architectural choices.</w:t>
      </w:r>
    </w:p>
    <w:p>
      <w:pPr>
        <w:pStyle w:val="Heading2"/>
      </w:pPr>
      <w:r>
        <w:t>7. Work-package blocker rule</w:t>
      </w:r>
    </w:p>
    <w:p>
      <w:r>
        <w:t>A Blocking Human Review item blocks the activity within its stated scope. It does not automatically stop all NCIE engineering. Stop the affected work package, identify the exact HR/source blocker, and continue independent work where dependency analysis permits.</w:t>
      </w:r>
    </w:p>
    <w:p>
      <w:pPr>
        <w:pStyle w:val="Heading2"/>
      </w:pPr>
      <w:r>
        <w:t>8. No blocker bypass</w:t>
      </w:r>
    </w:p>
    <w:p>
      <w:r>
        <w:t>Do not bypass a Blocking HR item by choosing a convenient default, weakening a control, hiding a feature, mocking an authoritative decision as permanent, or changing upstream semantics.</w:t>
      </w:r>
    </w:p>
    <w:p>
      <w:pPr>
        <w:pStyle w:val="Heading2"/>
      </w:pPr>
      <w:r>
        <w:t>9. Safe scaffolding rule</w:t>
      </w:r>
    </w:p>
    <w:p>
      <w:r>
        <w:t>Where an unresolved decision permits non-consequential scaffolding, interfaces, tests, adapters or disabled feature structure without committing the decision, Codex may prepare that work only if the boundary is explicit, reversible and cannot activate the unresolved capability.</w:t>
      </w:r>
    </w:p>
    <w:p>
      <w:pPr>
        <w:pStyle w:val="Heading2"/>
      </w:pPr>
      <w:r>
        <w:t>10. Change-control rule</w:t>
      </w:r>
    </w:p>
    <w:p>
      <w:r>
        <w:t>Any proposed architecture change must be raised as a change request with affected NCIE references, reason, alternatives, implementation impact, test impact, security/governance impact and rollback implications. Do not implement the architectural change until Human-controlled approval.</w:t>
      </w:r>
    </w:p>
    <w:p>
      <w:pPr>
        <w:pStyle w:val="Heading2"/>
      </w:pPr>
      <w:r>
        <w:t>11. Human-primary rule</w:t>
      </w:r>
    </w:p>
    <w:p>
      <w:r>
        <w:t>Human authority remains primary. ARGUS, Agents, models, VPF, automation, CI/CD and Codex itself do not acquire institutional decision authority by successful execution.</w:t>
      </w:r>
    </w:p>
    <w:p>
      <w:pPr>
        <w:pStyle w:val="Heading2"/>
      </w:pPr>
      <w:r>
        <w:t>12. Security rule</w:t>
      </w:r>
    </w:p>
    <w:p>
      <w:r>
        <w:t>Apply NCIE-009 throughout implementation. Never weaken authentication, authorization, purpose limitation, privileged-access, sandbox, secrets, network, privacy or DLP controls to make development easier.</w:t>
      </w:r>
    </w:p>
    <w:p>
      <w:pPr>
        <w:pStyle w:val="Heading2"/>
      </w:pPr>
      <w:r>
        <w:t>13. Secret-handling rule</w:t>
      </w:r>
    </w:p>
    <w:p>
      <w:r>
        <w:t>Never place live passwords, tokens, API keys, private keys, recovery codes or production secrets in source code, documentation, logs, fixtures, prompts or committed configuration.</w:t>
      </w:r>
    </w:p>
    <w:p>
      <w:pPr>
        <w:pStyle w:val="Heading2"/>
      </w:pPr>
      <w:r>
        <w:t>14. Evidence/provenance rule</w:t>
      </w:r>
    </w:p>
    <w:p>
      <w:r>
        <w:t>Apply NCIE-010. Preserve attributable provenance for consequential implementation artifacts, migrations, configuration changes, test evidence and release evidence. Implementation logs are not automatically institutional Evidence.</w:t>
      </w:r>
    </w:p>
    <w:p>
      <w:pPr>
        <w:pStyle w:val="Heading2"/>
      </w:pPr>
      <w:r>
        <w:t>15. Data rule</w:t>
      </w:r>
    </w:p>
    <w:p>
      <w:r>
        <w:t>Apply NCIE-003 canonical semantics and NCIE-014 physical persistence boundaries. Physical schema, cache, search/vector/graph projections and migrations must not silently redefine canonical meaning.</w:t>
      </w:r>
    </w:p>
    <w:p>
      <w:pPr>
        <w:pStyle w:val="Heading2"/>
      </w:pPr>
      <w:r>
        <w:t>16. Integration rule</w:t>
      </w:r>
    </w:p>
    <w:p>
      <w:r>
        <w:t>Apply NCIE-011 contract, idempotency, retry, outcome-unknown, reconciliation, authentication/authorization and connector-governance semantics.</w:t>
      </w:r>
    </w:p>
    <w:p>
      <w:pPr>
        <w:pStyle w:val="Heading2"/>
      </w:pPr>
      <w:r>
        <w:t>17. ARGUS/AI/Agent rule</w:t>
      </w:r>
    </w:p>
    <w:p>
      <w:r>
        <w:t>Apply NCIE-005–007. Preserve Human-Primary boundaries, Gate A/B, VPF, Agent sandboxing, model/Tool eligibility, delegation ceilings and consequential-action approval requirements.</w:t>
      </w:r>
    </w:p>
    <w:p>
      <w:pPr>
        <w:pStyle w:val="Heading2"/>
      </w:pPr>
      <w:r>
        <w:t>18. Functional-module rule</w:t>
      </w:r>
    </w:p>
    <w:p>
      <w:r>
        <w:t>Apply NCIE-013. Do not convert analytical signals, anomalies, risk scores, Alerts or Situations into Findings, violations or institutional Decisions unless the governed upstream process establishes that state.</w:t>
      </w:r>
    </w:p>
    <w:p>
      <w:pPr>
        <w:pStyle w:val="Heading2"/>
      </w:pPr>
      <w:r>
        <w:t>19. UX rule</w:t>
      </w:r>
    </w:p>
    <w:p>
      <w:r>
        <w:t>Apply NCIE-012. UI visibility, disabled controls, displayed success, Agent/VPF status, search results and Memory displays must not misrepresent authorization, current state, Evidence or Human Approval.</w:t>
      </w:r>
    </w:p>
    <w:p>
      <w:pPr>
        <w:pStyle w:val="Heading2"/>
      </w:pPr>
      <w:r>
        <w:t>20. DevSecOps rule</w:t>
      </w:r>
    </w:p>
    <w:p>
      <w:r>
        <w:t>Apply NCIE-015. Build success, pipeline pass, deployment, service health, failover and restore are distinct from release authorization, business correctness and production acceptance.</w:t>
      </w:r>
    </w:p>
    <w:p>
      <w:pPr>
        <w:pStyle w:val="Heading2"/>
      </w:pPr>
      <w:r>
        <w:t>21. Verification rule</w:t>
      </w:r>
    </w:p>
    <w:p>
      <w:r>
        <w:t>Apply NCIE-016. TEST SPECIFIED ≠ TEST EXECUTED; TEST EXECUTED ≠ TEST PASSED; TEST PASSED ≠ PRODUCTION ACCEPTANCE. Codex must not manufacture test results.</w:t>
      </w:r>
    </w:p>
    <w:p>
      <w:pPr>
        <w:pStyle w:val="Heading2"/>
      </w:pPr>
      <w:r>
        <w:t>22. Roadmap rule</w:t>
      </w:r>
    </w:p>
    <w:p>
      <w:r>
        <w:t>Apply NCIE-017. ROADMAP ≠ IMPLEMENTATION; work-package definition ≠ work started; work complete ≠ test passed; sequence ≠ calendar commitment.</w:t>
      </w:r>
    </w:p>
    <w:p>
      <w:pPr>
        <w:pStyle w:val="Heading2"/>
      </w:pPr>
      <w:r>
        <w:t>23. Handover rule</w:t>
      </w:r>
    </w:p>
    <w:p>
      <w:r>
        <w:t>Apply NCIE-018. Documentation/knowledge transfer, role definition, training, readiness assessment and go-live recommendation do not establish appointment, access authorization, competence, production acceptance or go-live authority.</w:t>
      </w:r>
    </w:p>
    <w:p>
      <w:pPr>
        <w:pStyle w:val="Heading2"/>
      </w:pPr>
      <w:r>
        <w:t>24. Implementation Entry Gate treatment</w:t>
      </w:r>
    </w:p>
    <w:p>
      <w:r>
        <w:t>Use the supplied Implementation Entry Gate as a governance reference for blocker families and lifecycle separation. Its earlier suite-wide NOT CLEARED assessment must not be interpreted as a blanket prohibition on all coding; apply its controls at the affected work-package/tranche scope and escalate Human decisions when required.</w:t>
      </w:r>
    </w:p>
    <w:p>
      <w:pPr>
        <w:pStyle w:val="Heading2"/>
      </w:pPr>
      <w:r>
        <w:t>25. Repository preflight</w:t>
      </w:r>
    </w:p>
    <w:p>
      <w:r>
        <w:t>Before substantive coding, inspect repository structure, existing code/configuration, build tooling, dependency manifests, branches and environment assumptions. Do not overwrite working implementation blindly.</w:t>
      </w:r>
    </w:p>
    <w:p>
      <w:pPr>
        <w:pStyle w:val="Heading2"/>
      </w:pPr>
      <w:r>
        <w:t>26. Implementation plan output</w:t>
      </w:r>
    </w:p>
    <w:p>
      <w:r>
        <w:t>Create a source-grounded implementation plan mapped to NCIE-017 WBS/work packages, dependencies, relevant HR blockers and NCIE-016 verification requirements. This plan is the first production artifact, not a replacement architecture.</w:t>
      </w:r>
    </w:p>
    <w:p>
      <w:pPr>
        <w:pStyle w:val="Heading2"/>
      </w:pPr>
      <w:r>
        <w:t>27. Incremental implementation</w:t>
      </w:r>
    </w:p>
    <w:p>
      <w:r>
        <w:t>Implement in dependency-aware increments. Prefer small reviewable changes with explicit NCIE/WBS traceability over a monolithic rewrite.</w:t>
      </w:r>
    </w:p>
    <w:p>
      <w:pPr>
        <w:pStyle w:val="Heading2"/>
      </w:pPr>
      <w:r>
        <w:t>28. Definition of Ready</w:t>
      </w:r>
    </w:p>
    <w:p>
      <w:r>
        <w:t>Do not begin an affected package until its required architectural inputs, dependency state, security boundary and test mapping are sufficient to implement without guessing a blocked decision.</w:t>
      </w:r>
    </w:p>
    <w:p>
      <w:pPr>
        <w:pStyle w:val="Heading2"/>
      </w:pPr>
      <w:r>
        <w:t>29. Definition of Done</w:t>
      </w:r>
    </w:p>
    <w:p>
      <w:r>
        <w:t>For coding purposes, Done means the authorized work-package implementation and required implementation evidence are complete. Done does not mean NCIE-016 tests passed or Human/production acceptance.</w:t>
      </w:r>
    </w:p>
    <w:p>
      <w:pPr>
        <w:pStyle w:val="Heading2"/>
      </w:pPr>
      <w:r>
        <w:t>30. Implementation evidence</w:t>
      </w:r>
    </w:p>
    <w:p>
      <w:r>
        <w:t>For each completed package, record changed artifacts, NCIE/WBS references, configuration/migration effects, unresolved limitations, security considerations and tests specified/executed.</w:t>
      </w:r>
    </w:p>
    <w:p>
      <w:pPr>
        <w:pStyle w:val="Heading2"/>
      </w:pPr>
      <w:r>
        <w:t>31. Test execution</w:t>
      </w:r>
    </w:p>
    <w:p>
      <w:r>
        <w:t>Execute tests only when implementation and required environment/evidence prerequisites exist. Preserve run identity, environment/configuration, inputs, outputs, artifacts and result status.</w:t>
      </w:r>
    </w:p>
    <w:p>
      <w:pPr>
        <w:pStyle w:val="Heading2"/>
      </w:pPr>
      <w:r>
        <w:t>32. Failure handling</w:t>
      </w:r>
    </w:p>
    <w:p>
      <w:r>
        <w:t>On test/build/integration failure, diagnose and correct implementation defects within approved architecture. Do not rewrite requirements merely to obtain a passing result.</w:t>
      </w:r>
    </w:p>
    <w:p>
      <w:pPr>
        <w:pStyle w:val="Heading2"/>
      </w:pPr>
      <w:r>
        <w:t>33. Blocked-work report</w:t>
      </w:r>
    </w:p>
    <w:p>
      <w:r>
        <w:t>For each blocked package, report: WBS/package ID, exact NCIE/HR references, blocked decision, why coding cannot safely proceed, independent work that can continue, and the minimum Human decision required.</w:t>
      </w:r>
    </w:p>
    <w:p>
      <w:pPr>
        <w:pStyle w:val="Heading2"/>
      </w:pPr>
      <w:r>
        <w:t>34. No fabricated progress</w:t>
      </w:r>
    </w:p>
    <w:p>
      <w:r>
        <w:t>Do not claim percentages, completion, validation, readiness or acceptance without evidence. Distinguish NOT STARTED, IN PROGRESS, BLOCKED, WORK COMPLETE, TEST PENDING, TESTED and ACCEPTANCE PENDING.</w:t>
      </w:r>
    </w:p>
    <w:p>
      <w:pPr>
        <w:pStyle w:val="Heading2"/>
      </w:pPr>
      <w:r>
        <w:t>35. No fabricated production state</w:t>
      </w:r>
    </w:p>
    <w:p>
      <w:r>
        <w:t>Do not claim the NCIE system is production-ready, operationally staffed, security-certified, compliant, accepted or live merely because code has been produced.</w:t>
      </w:r>
    </w:p>
    <w:p>
      <w:pPr>
        <w:pStyle w:val="Heading2"/>
      </w:pPr>
      <w:r>
        <w:t>36. Deployment boundary</w:t>
      </w:r>
    </w:p>
    <w:p>
      <w:r>
        <w:t>Codex may prepare deployment artifacts according to NCIE-015, but production release/cutover/go-live remains subject to the authorized governance and acceptance process.</w:t>
      </w:r>
    </w:p>
    <w:p>
      <w:pPr>
        <w:pStyle w:val="Heading2"/>
      </w:pPr>
      <w:r>
        <w:t>37. Operational boundary</w:t>
      </w:r>
    </w:p>
    <w:p>
      <w:r>
        <w:t>Codex may prepare runbooks, observability, backup/recovery and handover artifacts, but must not claim actual staffing, on-call availability, training completion, DR proof or operational readiness without evidence.</w:t>
      </w:r>
    </w:p>
    <w:p>
      <w:pPr>
        <w:pStyle w:val="Heading2"/>
      </w:pPr>
      <w:r>
        <w:t>38. Continuous traceability</w:t>
      </w:r>
    </w:p>
    <w:p>
      <w:r>
        <w:t>Maintain requirement→implementation→test→evidence→defect/change traceability throughout production so NCIE-016 can verify what was actually built.</w:t>
      </w:r>
    </w:p>
    <w:p>
      <w:pPr>
        <w:pStyle w:val="Heading2"/>
      </w:pPr>
      <w:r>
        <w:t>39. Completion package</w:t>
      </w:r>
    </w:p>
    <w:p>
      <w:r>
        <w:t>At the end of each implementation increment, return implemented work packages, changed files, blocker report, test/evidence status, deviations/change requests, and next dependency-ready packages.</w:t>
      </w:r>
    </w:p>
    <w:p>
      <w:pPr>
        <w:pStyle w:val="Heading2"/>
      </w:pPr>
      <w:r>
        <w:t>40. Final system completion boundary</w:t>
      </w:r>
    </w:p>
    <w:p>
      <w:r>
        <w:t>A fully coded suite is not automatically a verified or accepted suite. Final verification, organizational readiness and production/go-live decisions remain governed by NCIE-016, NCIE-018 and Human authority.</w:t>
      </w:r>
    </w:p>
    <w:p>
      <w:pPr>
        <w:pStyle w:val="Heading2"/>
      </w:pPr>
      <w:r>
        <w:t>41. Controlled corpus inventory</w:t>
      </w:r>
    </w:p>
    <w:p>
      <w:r>
        <w:t>The following 18 Final Docs were present in the supplied NCIE Production Suite and are the substantive implementation corpus:</w:t>
      </w:r>
    </w:p>
    <w:p>
      <w:pPr>
        <w:pStyle w:val="ListBullet"/>
      </w:pPr>
      <w:r>
        <w:t>NCIE-001_Master_PRD_v1_3_IN_DEVELOPMENT</w:t>
      </w:r>
    </w:p>
    <w:p>
      <w:pPr>
        <w:pStyle w:val="ListBullet"/>
      </w:pPr>
      <w:r>
        <w:t>NCIE-002_System_Architecture_Technical_Design_v0_5_IN_DEVELOPMENT</w:t>
      </w:r>
    </w:p>
    <w:p>
      <w:pPr>
        <w:pStyle w:val="ListBullet"/>
      </w:pPr>
      <w:r>
        <w:t>NCIE-003_Data_Model_Data_Dictionary_v0_4_IN_DEVELOPMENT</w:t>
      </w:r>
    </w:p>
    <w:p>
      <w:pPr>
        <w:pStyle w:val="ListBullet"/>
      </w:pPr>
      <w:r>
        <w:t>NCIE-004_Technology_Stack_Engineering_Blueprint_v1_2_IN_DEVELOPMENT</w:t>
      </w:r>
    </w:p>
    <w:p>
      <w:pPr>
        <w:pStyle w:val="ListBullet"/>
      </w:pPr>
      <w:r>
        <w:t>NCIE-005_ARGUS_Intelligence_Assistant_Specification_v1_3_IN_DEVELOPMENT</w:t>
      </w:r>
    </w:p>
    <w:p>
      <w:pPr>
        <w:pStyle w:val="ListBullet"/>
      </w:pPr>
      <w:r>
        <w:t>NCIE-006_Memory_Context_Architecture_Specification_v1_2_IN_DEVELOPMENT</w:t>
      </w:r>
    </w:p>
    <w:p>
      <w:pPr>
        <w:pStyle w:val="ListBullet"/>
      </w:pPr>
      <w:r>
        <w:t>NCIE-007_AI_Agent_Model_Orchestration_Specification_v1_2_IN_DEVELOPMENT</w:t>
      </w:r>
    </w:p>
    <w:p>
      <w:pPr>
        <w:pStyle w:val="ListBullet"/>
      </w:pPr>
      <w:r>
        <w:t>NCIE-008_Governance_Authority_Accountability_RACI_Specification_v1_0_IN_DEVELOPMENT</w:t>
      </w:r>
    </w:p>
    <w:p>
      <w:pPr>
        <w:pStyle w:val="ListBullet"/>
      </w:pPr>
      <w:r>
        <w:t>NCIE-009_Security_IAM_Zero_Trust_Architecture_v1_0_IN_DEVELOPMENT</w:t>
      </w:r>
    </w:p>
    <w:p>
      <w:pPr>
        <w:pStyle w:val="ListBullet"/>
      </w:pPr>
      <w:r>
        <w:t>NCIE-010_Evidence_Provenance_Audit_Architecture_v1_0_IN_DEVELOPMENT</w:t>
      </w:r>
    </w:p>
    <w:p>
      <w:pPr>
        <w:pStyle w:val="ListBullet"/>
      </w:pPr>
      <w:r>
        <w:t>NCIE-011_API_Integration_Data_Connector_Specification_v1_0_IN_DEVELOPMENT</w:t>
      </w:r>
    </w:p>
    <w:p>
      <w:pPr>
        <w:pStyle w:val="ListBullet"/>
      </w:pPr>
      <w:r>
        <w:t>NCIE-012_UX_UI_Design_System_Specification_v1_0_IN_DEVELOPMENT</w:t>
      </w:r>
    </w:p>
    <w:p>
      <w:pPr>
        <w:pStyle w:val="ListBullet"/>
      </w:pPr>
      <w:r>
        <w:t>NCIE-013_Functional_Modules_Specification_v1_0_IN_DEVELOPMENT</w:t>
      </w:r>
    </w:p>
    <w:p>
      <w:pPr>
        <w:pStyle w:val="ListBullet"/>
      </w:pPr>
      <w:r>
        <w:t>NCIE-014_Database_Storage_Engineering_Specification_v1_0_IN_DEVELOPMENT</w:t>
      </w:r>
    </w:p>
    <w:p>
      <w:pPr>
        <w:pStyle w:val="ListBullet"/>
      </w:pPr>
      <w:r>
        <w:t>NCIE-015_DevSecOps_Infrastructure_Deployment_Specification_v1_0_IN_DEVELOPMENT</w:t>
      </w:r>
    </w:p>
    <w:p>
      <w:pPr>
        <w:pStyle w:val="ListBullet"/>
      </w:pPr>
      <w:r>
        <w:t>NCIE-016_Testing_Verification_Acceptance_Specification_v1_0_IN_DEVELOPMENT</w:t>
      </w:r>
    </w:p>
    <w:p>
      <w:pPr>
        <w:pStyle w:val="ListBullet"/>
      </w:pPr>
      <w:r>
        <w:t>NCIE-017_Implementation_Roadmap_Build_Plan_v1_0_IN_DEVELOPMENT</w:t>
      </w:r>
    </w:p>
    <w:p>
      <w:pPr>
        <w:pStyle w:val="ListBullet"/>
      </w:pPr>
      <w:r>
        <w:t>NCIE-018_Operational_Handover_Organizational_Readiness_Governance_Specification_v1_0_IN_DEVELOPMENT</w:t>
      </w:r>
    </w:p>
    <w:p>
      <w:pPr>
        <w:pStyle w:val="Heading2"/>
      </w:pPr>
      <w:r>
        <w:t>42. Supporting artifacts</w:t>
      </w:r>
    </w:p>
    <w:p>
      <w:r>
        <w:t>Use the supplied amendment/expansion verification reports and change registers as provenance and reconciliation support. They do not independently override the corresponding current Final Doc.</w:t>
      </w:r>
    </w:p>
    <w:p>
      <w:pPr>
        <w:pStyle w:val="Heading2"/>
      </w:pPr>
      <w:r>
        <w:t>43. First Codex response</w:t>
      </w:r>
    </w:p>
    <w:p>
      <w:r>
        <w:t>Before implementation, Codex must return a concise preflight: files recognized; repository state; proposed first dependency-ready work packages; exact unresolved blockers affecting those packages; NCIE-016 test mapping; and any material source conflict. If no material conflict exists, proceed with dependency-ready implementation.</w:t>
      </w:r>
    </w:p>
    <w:p>
      <w:pPr>
        <w:pStyle w:val="Heading2"/>
      </w:pPr>
      <w:r>
        <w:t>44. Stop conditions</w:t>
      </w:r>
    </w:p>
    <w:p>
      <w:r>
        <w:t>Stop only the affected scope when: a material source contradiction exists; a Blocking HR decision is indispensable to the package; required security/data authority is absent; implementation would require architecture redesign; or continuing would create irreversible/consequential behavior outside approved authority.</w:t>
      </w:r>
    </w:p>
    <w:p>
      <w:pPr>
        <w:pStyle w:val="Heading2"/>
      </w:pPr>
      <w:r>
        <w:t>45. Non-stop conditions</w:t>
      </w:r>
    </w:p>
    <w:p>
      <w:r>
        <w:t>Do not stop the entire programme merely because later-stage production acceptance, staffing, representative-user validation, final DR proof, residual-risk acceptance or go-live authority remains pending, unless that item is an explicit prerequisite of the current work package.</w:t>
      </w:r>
    </w:p>
    <w:p>
      <w:pPr>
        <w:pStyle w:val="Heading2"/>
      </w:pPr>
      <w:r>
        <w:t>46. Final execution instruction</w:t>
      </w:r>
    </w:p>
    <w:p>
      <w:r>
        <w:t>Use NCIE-001–018 as the implementation architecture and NCIE-017 as the build sequence. Begin controlled production on dependency-ready work packages. When a package encounters an unresolved Blocking Human Review decision, stop that package, report the exact blocker, and continue independent authorized work. Apply NCIE-016 verification as implementation becomes testable. Do not claim production acceptance or go-live authorization.</w:t>
      </w:r>
    </w:p>
    <w:p>
      <w:r>
        <w:br w:type="page"/>
      </w:r>
    </w:p>
    <w:p>
      <w:pPr>
        <w:pStyle w:val="Heading1"/>
      </w:pPr>
      <w:r>
        <w:t>Codex Execution Status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State</w:t>
            </w:r>
          </w:p>
        </w:tc>
        <w:tc>
          <w:tcPr>
            <w:tcW w:type="dxa" w:w="2556"/>
          </w:tcPr>
          <w:p>
            <w:r>
              <w:t>Meaning</w:t>
            </w:r>
          </w:p>
        </w:tc>
        <w:tc>
          <w:tcPr>
            <w:tcW w:type="dxa" w:w="2556"/>
          </w:tcPr>
          <w:p>
            <w:r>
              <w:t>Codex may do</w:t>
            </w:r>
          </w:p>
        </w:tc>
        <w:tc>
          <w:tcPr>
            <w:tcW w:type="dxa" w:w="2556"/>
          </w:tcPr>
          <w:p>
            <w:r>
              <w:t>Must not imply</w:t>
            </w:r>
          </w:p>
        </w:tc>
      </w:tr>
      <w:tr>
        <w:tc>
          <w:tcPr>
            <w:tcW w:type="dxa" w:w="2556"/>
          </w:tcPr>
          <w:p>
            <w:r>
              <w:t>DEPENDENCY-READY</w:t>
            </w:r>
          </w:p>
        </w:tc>
        <w:tc>
          <w:tcPr>
            <w:tcW w:type="dxa" w:w="2556"/>
          </w:tcPr>
          <w:p>
            <w:r>
              <w:t>Inputs/authority sufficient for coding</w:t>
            </w:r>
          </w:p>
        </w:tc>
        <w:tc>
          <w:tcPr>
            <w:tcW w:type="dxa" w:w="2556"/>
          </w:tcPr>
          <w:p>
            <w:r>
              <w:t>Implement package</w:t>
            </w:r>
          </w:p>
        </w:tc>
        <w:tc>
          <w:tcPr>
            <w:tcW w:type="dxa" w:w="2556"/>
          </w:tcPr>
          <w:p>
            <w:r>
              <w:t>Test pass / acceptance</w:t>
            </w:r>
          </w:p>
        </w:tc>
      </w:tr>
      <w:tr>
        <w:tc>
          <w:tcPr>
            <w:tcW w:type="dxa" w:w="2556"/>
          </w:tcPr>
          <w:p>
            <w:r>
              <w:t>BLOCKED</w:t>
            </w:r>
          </w:p>
        </w:tc>
        <w:tc>
          <w:tcPr>
            <w:tcW w:type="dxa" w:w="2556"/>
          </w:tcPr>
          <w:p>
            <w:r>
              <w:t>Specific required decision/dependency unresolved</w:t>
            </w:r>
          </w:p>
        </w:tc>
        <w:tc>
          <w:tcPr>
            <w:tcW w:type="dxa" w:w="2556"/>
          </w:tcPr>
          <w:p>
            <w:r>
              <w:t>Stop affected package; report blocker; continue independent work</w:t>
            </w:r>
          </w:p>
        </w:tc>
        <w:tc>
          <w:tcPr>
            <w:tcW w:type="dxa" w:w="2556"/>
          </w:tcPr>
          <w:p>
            <w:r>
              <w:t>Whole programme must stop</w:t>
            </w:r>
          </w:p>
        </w:tc>
      </w:tr>
      <w:tr>
        <w:tc>
          <w:tcPr>
            <w:tcW w:type="dxa" w:w="2556"/>
          </w:tcPr>
          <w:p>
            <w:r>
              <w:t>WORK COMPLETE</w:t>
            </w:r>
          </w:p>
        </w:tc>
        <w:tc>
          <w:tcPr>
            <w:tcW w:type="dxa" w:w="2556"/>
          </w:tcPr>
          <w:p>
            <w:r>
              <w:t>Authorized implementation work complete</w:t>
            </w:r>
          </w:p>
        </w:tc>
        <w:tc>
          <w:tcPr>
            <w:tcW w:type="dxa" w:w="2556"/>
          </w:tcPr>
          <w:p>
            <w:r>
              <w:t>Produce implementation evidence; enter verification</w:t>
            </w:r>
          </w:p>
        </w:tc>
        <w:tc>
          <w:tcPr>
            <w:tcW w:type="dxa" w:w="2556"/>
          </w:tcPr>
          <w:p>
            <w:r>
              <w:t>Test passed</w:t>
            </w:r>
          </w:p>
        </w:tc>
      </w:tr>
      <w:tr>
        <w:tc>
          <w:tcPr>
            <w:tcW w:type="dxa" w:w="2556"/>
          </w:tcPr>
          <w:p>
            <w:r>
              <w:t>TESTED</w:t>
            </w:r>
          </w:p>
        </w:tc>
        <w:tc>
          <w:tcPr>
            <w:tcW w:type="dxa" w:w="2556"/>
          </w:tcPr>
          <w:p>
            <w:r>
              <w:t>NCIE-016 test actually executed with evidence</w:t>
            </w:r>
          </w:p>
        </w:tc>
        <w:tc>
          <w:tcPr>
            <w:tcW w:type="dxa" w:w="2556"/>
          </w:tcPr>
          <w:p>
            <w:r>
              <w:t>Report actual result</w:t>
            </w:r>
          </w:p>
        </w:tc>
        <w:tc>
          <w:tcPr>
            <w:tcW w:type="dxa" w:w="2556"/>
          </w:tcPr>
          <w:p>
            <w:r>
              <w:t>Production acceptance</w:t>
            </w:r>
          </w:p>
        </w:tc>
      </w:tr>
      <w:tr>
        <w:tc>
          <w:tcPr>
            <w:tcW w:type="dxa" w:w="2556"/>
          </w:tcPr>
          <w:p>
            <w:r>
              <w:t>ACCEPTANCE PENDING</w:t>
            </w:r>
          </w:p>
        </w:tc>
        <w:tc>
          <w:tcPr>
            <w:tcW w:type="dxa" w:w="2556"/>
          </w:tcPr>
          <w:p>
            <w:r>
              <w:t>Required implementation/test evidence available</w:t>
            </w:r>
          </w:p>
        </w:tc>
        <w:tc>
          <w:tcPr>
            <w:tcW w:type="dxa" w:w="2556"/>
          </w:tcPr>
          <w:p>
            <w:r>
              <w:t>Prepare acceptance package</w:t>
            </w:r>
          </w:p>
        </w:tc>
        <w:tc>
          <w:tcPr>
            <w:tcW w:type="dxa" w:w="2556"/>
          </w:tcPr>
          <w:p>
            <w:r>
              <w:t>Human approval</w:t>
            </w:r>
          </w:p>
        </w:tc>
      </w:tr>
      <w:tr>
        <w:tc>
          <w:tcPr>
            <w:tcW w:type="dxa" w:w="2556"/>
          </w:tcPr>
          <w:p>
            <w:r>
              <w:t>ACCEPTED</w:t>
            </w:r>
          </w:p>
        </w:tc>
        <w:tc>
          <w:tcPr>
            <w:tcW w:type="dxa" w:w="2556"/>
          </w:tcPr>
          <w:p>
            <w:r>
              <w:t>Only after authorized Human decision</w:t>
            </w:r>
          </w:p>
        </w:tc>
        <w:tc>
          <w:tcPr>
            <w:tcW w:type="dxa" w:w="2556"/>
          </w:tcPr>
          <w:p>
            <w:r>
              <w:t>Proceed according to approved next-stage authority</w:t>
            </w:r>
          </w:p>
        </w:tc>
        <w:tc>
          <w:tcPr>
            <w:tcW w:type="dxa" w:w="2556"/>
          </w:tcPr>
          <w:p>
            <w:r>
              <w:t>Go-live unless separately authorized</w:t>
            </w:r>
          </w:p>
        </w:tc>
      </w:tr>
    </w:tbl>
    <w:p>
      <w:pPr>
        <w:pStyle w:val="Heading1"/>
      </w:pPr>
      <w:r>
        <w:t>Master Integrity Control</w:t>
      </w:r>
    </w:p>
    <w:p>
      <w:r>
        <w:t>FINAL DOCS PRESENT IN SUPPLIED PRODUCTION SUITE = 18/18</w:t>
        <w:br/>
        <w:t>MASTER PRODUCTION INSTRUCTIONS = 46</w:t>
        <w:br/>
        <w:t>IMPLEMENTATION EXECUTION = AUTHORIZED ONLY WITHIN DEPENDENCY-READY, SOURCE-GROUNDED WORK-PACKAGE SCOPE</w:t>
        <w:br/>
        <w:t>BLOCKING HR ITEM = SCOPE-SPECIFIC STOP / ESCALATION, NOT AUTOMATIC WHOLE-PROGRAMME STOP</w:t>
        <w:br/>
        <w:t>TEST PASS = NOT PRODUCTION ACCEPTANCE</w:t>
        <w:br/>
        <w:t>DEPLOYED = NOT GO-LIVE AUTHORIZATION</w:t>
        <w:br/>
        <w:t>LIVE CREDENTIALS IN HANDOVER/REPOSITORY = PROHIBITED</w:t>
      </w:r>
    </w:p>
    <w:p>
      <w:r>
        <w:t>This Master Production Instruction is the final pre-Codex execution instruction. Subsequent Human decisions arise from blockers encountered during implementation or from verification/release/readiness stages; they are not additional hidden prerequisites to handing the controlled suite to Codex.</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IMPLEMENTATION — DOCUMENT APPROVAL ≠ PRODUCTION ACCEPTANCE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NCIE → CODEX | MASTER PRODUCTION INSTRUCTION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