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249A0" w14:textId="77777777" w:rsidR="00AF3756" w:rsidRPr="00AF3756" w:rsidRDefault="00AF3756" w:rsidP="00AF3756">
      <w:pPr>
        <w:rPr>
          <w:b/>
          <w:bCs/>
          <w:lang w:val="en-GH"/>
        </w:rPr>
      </w:pPr>
      <w:r w:rsidRPr="00AF3756">
        <w:rPr>
          <w:b/>
          <w:bCs/>
          <w:lang w:val="en-GH"/>
        </w:rPr>
        <w:t>NCIE → Codex Production Documentation Suite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3961"/>
        <w:gridCol w:w="986"/>
        <w:gridCol w:w="3593"/>
      </w:tblGrid>
      <w:tr w:rsidR="00AF3756" w:rsidRPr="00AF3756" w14:paraId="454ED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F5B11" w14:textId="77777777" w:rsidR="00AF3756" w:rsidRPr="00AF3756" w:rsidRDefault="00AF3756" w:rsidP="00AF3756">
            <w:pPr>
              <w:rPr>
                <w:b/>
                <w:bCs/>
                <w:lang w:val="en-GH"/>
              </w:rPr>
            </w:pPr>
            <w:r w:rsidRPr="00AF3756">
              <w:rPr>
                <w:b/>
                <w:bCs/>
                <w:lang w:val="en-GH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1549C9" w14:textId="77777777" w:rsidR="00AF3756" w:rsidRPr="00AF3756" w:rsidRDefault="00AF3756" w:rsidP="00AF3756">
            <w:pPr>
              <w:rPr>
                <w:b/>
                <w:bCs/>
                <w:lang w:val="en-GH"/>
              </w:rPr>
            </w:pPr>
            <w:r w:rsidRPr="00AF3756">
              <w:rPr>
                <w:b/>
                <w:bCs/>
                <w:lang w:val="en-GH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3BC56C0" w14:textId="77777777" w:rsidR="00AF3756" w:rsidRPr="00AF3756" w:rsidRDefault="00AF3756" w:rsidP="00AF3756">
            <w:pPr>
              <w:rPr>
                <w:b/>
                <w:bCs/>
                <w:lang w:val="en-GH"/>
              </w:rPr>
            </w:pPr>
            <w:r w:rsidRPr="00AF3756">
              <w:rPr>
                <w:b/>
                <w:bCs/>
                <w:lang w:val="en-GH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14:paraId="6B58B619" w14:textId="77777777" w:rsidR="00AF3756" w:rsidRPr="00AF3756" w:rsidRDefault="00AF3756" w:rsidP="00AF3756">
            <w:pPr>
              <w:rPr>
                <w:b/>
                <w:bCs/>
                <w:lang w:val="en-GH"/>
              </w:rPr>
            </w:pPr>
            <w:r w:rsidRPr="00AF3756">
              <w:rPr>
                <w:b/>
                <w:bCs/>
                <w:lang w:val="en-GH"/>
              </w:rPr>
              <w:t>Primary purpose</w:t>
            </w:r>
          </w:p>
        </w:tc>
      </w:tr>
      <w:tr w:rsidR="00AF3756" w:rsidRPr="00AF3756" w14:paraId="5274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0720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NCIE-001</w:t>
            </w:r>
          </w:p>
        </w:tc>
        <w:tc>
          <w:tcPr>
            <w:tcW w:w="0" w:type="auto"/>
            <w:vAlign w:val="center"/>
            <w:hideMark/>
          </w:tcPr>
          <w:p w14:paraId="49664C90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Master Product Requirements Document (PRD)</w:t>
            </w:r>
          </w:p>
        </w:tc>
        <w:tc>
          <w:tcPr>
            <w:tcW w:w="0" w:type="auto"/>
            <w:vAlign w:val="center"/>
            <w:hideMark/>
          </w:tcPr>
          <w:p w14:paraId="7494068D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DCC520C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exactly what NCIE must do</w:t>
            </w:r>
          </w:p>
        </w:tc>
      </w:tr>
      <w:tr w:rsidR="00AF3756" w:rsidRPr="00AF3756" w14:paraId="7036D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9C7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NCIE-002</w:t>
            </w:r>
          </w:p>
        </w:tc>
        <w:tc>
          <w:tcPr>
            <w:tcW w:w="0" w:type="auto"/>
            <w:vAlign w:val="center"/>
            <w:hideMark/>
          </w:tcPr>
          <w:p w14:paraId="7C0D9B79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System &amp; Solution Architecture Specification</w:t>
            </w:r>
          </w:p>
        </w:tc>
        <w:tc>
          <w:tcPr>
            <w:tcW w:w="0" w:type="auto"/>
            <w:vAlign w:val="center"/>
            <w:hideMark/>
          </w:tcPr>
          <w:p w14:paraId="31127DE6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D74ADA8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the overall technical architecture</w:t>
            </w:r>
          </w:p>
        </w:tc>
      </w:tr>
      <w:tr w:rsidR="00AF3756" w:rsidRPr="00AF3756" w14:paraId="0DA90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25C4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NCIE-003</w:t>
            </w:r>
          </w:p>
        </w:tc>
        <w:tc>
          <w:tcPr>
            <w:tcW w:w="0" w:type="auto"/>
            <w:vAlign w:val="center"/>
            <w:hideMark/>
          </w:tcPr>
          <w:p w14:paraId="17A5852E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Technology Stack &amp; Engineering Blueprint</w:t>
            </w:r>
          </w:p>
        </w:tc>
        <w:tc>
          <w:tcPr>
            <w:tcW w:w="0" w:type="auto"/>
            <w:vAlign w:val="center"/>
            <w:hideMark/>
          </w:tcPr>
          <w:p w14:paraId="43F2F94C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B52AC4E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approved technologies and engineering patterns</w:t>
            </w:r>
          </w:p>
        </w:tc>
      </w:tr>
      <w:tr w:rsidR="00AF3756" w:rsidRPr="00AF3756" w14:paraId="34FD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A52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NCIE-004</w:t>
            </w:r>
          </w:p>
        </w:tc>
        <w:tc>
          <w:tcPr>
            <w:tcW w:w="0" w:type="auto"/>
            <w:vAlign w:val="center"/>
            <w:hideMark/>
          </w:tcPr>
          <w:p w14:paraId="248BDF39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Data Architecture &amp; Intelligence Information Model</w:t>
            </w:r>
          </w:p>
        </w:tc>
        <w:tc>
          <w:tcPr>
            <w:tcW w:w="0" w:type="auto"/>
            <w:vAlign w:val="center"/>
            <w:hideMark/>
          </w:tcPr>
          <w:p w14:paraId="24FF4754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0602F24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data, entities, relationships and lifecycle</w:t>
            </w:r>
          </w:p>
        </w:tc>
      </w:tr>
      <w:tr w:rsidR="00AF3756" w:rsidRPr="00AF3756" w14:paraId="34B11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EA38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NCIE-005</w:t>
            </w:r>
          </w:p>
        </w:tc>
        <w:tc>
          <w:tcPr>
            <w:tcW w:w="0" w:type="auto"/>
            <w:vAlign w:val="center"/>
            <w:hideMark/>
          </w:tcPr>
          <w:p w14:paraId="4CDA4B3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Intelligence Assistant Specification</w:t>
            </w:r>
          </w:p>
        </w:tc>
        <w:tc>
          <w:tcPr>
            <w:tcW w:w="0" w:type="auto"/>
            <w:vAlign w:val="center"/>
            <w:hideMark/>
          </w:tcPr>
          <w:p w14:paraId="6D83A9E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F193271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Complete specification for the conversational AI</w:t>
            </w:r>
          </w:p>
        </w:tc>
      </w:tr>
      <w:tr w:rsidR="00AF3756" w:rsidRPr="00AF3756" w14:paraId="15B07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A989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NCIE-006</w:t>
            </w:r>
          </w:p>
        </w:tc>
        <w:tc>
          <w:tcPr>
            <w:tcW w:w="0" w:type="auto"/>
            <w:vAlign w:val="center"/>
            <w:hideMark/>
          </w:tcPr>
          <w:p w14:paraId="5607B227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Memory &amp; Context Architecture Specification</w:t>
            </w:r>
          </w:p>
        </w:tc>
        <w:tc>
          <w:tcPr>
            <w:tcW w:w="0" w:type="auto"/>
            <w:vAlign w:val="center"/>
            <w:hideMark/>
          </w:tcPr>
          <w:p w14:paraId="004A63A7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0DDBD35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persistent per-user and institutional memory</w:t>
            </w:r>
          </w:p>
        </w:tc>
      </w:tr>
      <w:tr w:rsidR="00AF3756" w:rsidRPr="00AF3756" w14:paraId="064EC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09AB6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NCIE-007</w:t>
            </w:r>
          </w:p>
        </w:tc>
        <w:tc>
          <w:tcPr>
            <w:tcW w:w="0" w:type="auto"/>
            <w:vAlign w:val="center"/>
            <w:hideMark/>
          </w:tcPr>
          <w:p w14:paraId="1F8BF124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AI, Agent &amp; Model Orchestration Specification</w:t>
            </w:r>
          </w:p>
        </w:tc>
        <w:tc>
          <w:tcPr>
            <w:tcW w:w="0" w:type="auto"/>
            <w:vAlign w:val="center"/>
            <w:hideMark/>
          </w:tcPr>
          <w:p w14:paraId="56AEAE5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6625B21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AI Gateway and autonomous agent operation</w:t>
            </w:r>
          </w:p>
        </w:tc>
      </w:tr>
      <w:tr w:rsidR="00AF3756" w:rsidRPr="00AF3756" w14:paraId="2E877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0F1A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NCIE-008</w:t>
            </w:r>
          </w:p>
        </w:tc>
        <w:tc>
          <w:tcPr>
            <w:tcW w:w="0" w:type="auto"/>
            <w:vAlign w:val="center"/>
            <w:hideMark/>
          </w:tcPr>
          <w:p w14:paraId="79C807CC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VPF Governance &amp; Human Authority Specification</w:t>
            </w:r>
          </w:p>
        </w:tc>
        <w:tc>
          <w:tcPr>
            <w:tcW w:w="0" w:type="auto"/>
            <w:vAlign w:val="center"/>
            <w:hideMark/>
          </w:tcPr>
          <w:p w14:paraId="09E01586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4A6654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applicable governance controls and boundaries</w:t>
            </w:r>
          </w:p>
        </w:tc>
      </w:tr>
      <w:tr w:rsidR="00AF3756" w:rsidRPr="00AF3756" w14:paraId="54568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231E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NCIE-009</w:t>
            </w:r>
          </w:p>
        </w:tc>
        <w:tc>
          <w:tcPr>
            <w:tcW w:w="0" w:type="auto"/>
            <w:vAlign w:val="center"/>
            <w:hideMark/>
          </w:tcPr>
          <w:p w14:paraId="0011FE95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Security, IAM &amp; Zero-Trust Architecture</w:t>
            </w:r>
          </w:p>
        </w:tc>
        <w:tc>
          <w:tcPr>
            <w:tcW w:w="0" w:type="auto"/>
            <w:vAlign w:val="center"/>
            <w:hideMark/>
          </w:tcPr>
          <w:p w14:paraId="4D6054F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3A7B850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authentication, authorization and security</w:t>
            </w:r>
          </w:p>
        </w:tc>
      </w:tr>
      <w:tr w:rsidR="00AF3756" w:rsidRPr="00AF3756" w14:paraId="3FFD2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B3F7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NCIE-010</w:t>
            </w:r>
          </w:p>
        </w:tc>
        <w:tc>
          <w:tcPr>
            <w:tcW w:w="0" w:type="auto"/>
            <w:vAlign w:val="center"/>
            <w:hideMark/>
          </w:tcPr>
          <w:p w14:paraId="03AEC18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Evidence, Provenance &amp; Audit Architecture</w:t>
            </w:r>
          </w:p>
        </w:tc>
        <w:tc>
          <w:tcPr>
            <w:tcW w:w="0" w:type="auto"/>
            <w:vAlign w:val="center"/>
            <w:hideMark/>
          </w:tcPr>
          <w:p w14:paraId="6242433C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31A38AE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Makes intelligence traceable and defensible</w:t>
            </w:r>
          </w:p>
        </w:tc>
      </w:tr>
      <w:tr w:rsidR="00AF3756" w:rsidRPr="00AF3756" w14:paraId="475E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9EF33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NCIE-011</w:t>
            </w:r>
          </w:p>
        </w:tc>
        <w:tc>
          <w:tcPr>
            <w:tcW w:w="0" w:type="auto"/>
            <w:vAlign w:val="center"/>
            <w:hideMark/>
          </w:tcPr>
          <w:p w14:paraId="486A77F4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API, Integration &amp; Data Connector Specification</w:t>
            </w:r>
          </w:p>
        </w:tc>
        <w:tc>
          <w:tcPr>
            <w:tcW w:w="0" w:type="auto"/>
            <w:vAlign w:val="center"/>
            <w:hideMark/>
          </w:tcPr>
          <w:p w14:paraId="3788B25E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22F9B1D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contracts between systems</w:t>
            </w:r>
          </w:p>
        </w:tc>
      </w:tr>
      <w:tr w:rsidR="00AF3756" w:rsidRPr="00AF3756" w14:paraId="723EE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771E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NCIE-012</w:t>
            </w:r>
          </w:p>
        </w:tc>
        <w:tc>
          <w:tcPr>
            <w:tcW w:w="0" w:type="auto"/>
            <w:vAlign w:val="center"/>
            <w:hideMark/>
          </w:tcPr>
          <w:p w14:paraId="5A689895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UX/UI &amp; Design System Specification</w:t>
            </w:r>
          </w:p>
        </w:tc>
        <w:tc>
          <w:tcPr>
            <w:tcW w:w="0" w:type="auto"/>
            <w:vAlign w:val="center"/>
            <w:hideMark/>
          </w:tcPr>
          <w:p w14:paraId="79B26FC8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D773BD3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Converts our visualizations into implementable UI rules</w:t>
            </w:r>
          </w:p>
        </w:tc>
      </w:tr>
      <w:tr w:rsidR="00AF3756" w:rsidRPr="00AF3756" w14:paraId="36BC3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E3E0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NCIE-013</w:t>
            </w:r>
          </w:p>
        </w:tc>
        <w:tc>
          <w:tcPr>
            <w:tcW w:w="0" w:type="auto"/>
            <w:vAlign w:val="center"/>
            <w:hideMark/>
          </w:tcPr>
          <w:p w14:paraId="0F94F566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Functional Modules Specification</w:t>
            </w:r>
          </w:p>
        </w:tc>
        <w:tc>
          <w:tcPr>
            <w:tcW w:w="0" w:type="auto"/>
            <w:vAlign w:val="center"/>
            <w:hideMark/>
          </w:tcPr>
          <w:p w14:paraId="6097089E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3288F1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each major NCIE operational module</w:t>
            </w:r>
          </w:p>
        </w:tc>
      </w:tr>
      <w:tr w:rsidR="00AF3756" w:rsidRPr="00AF3756" w14:paraId="3DE6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CD43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NCIE-014</w:t>
            </w:r>
          </w:p>
        </w:tc>
        <w:tc>
          <w:tcPr>
            <w:tcW w:w="0" w:type="auto"/>
            <w:vAlign w:val="center"/>
            <w:hideMark/>
          </w:tcPr>
          <w:p w14:paraId="45978557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Database &amp; Storage Engineering Specification</w:t>
            </w:r>
          </w:p>
        </w:tc>
        <w:tc>
          <w:tcPr>
            <w:tcW w:w="0" w:type="auto"/>
            <w:vAlign w:val="center"/>
            <w:hideMark/>
          </w:tcPr>
          <w:p w14:paraId="60E33A23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83A4143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Gives Codex implementation-level persistence design</w:t>
            </w:r>
          </w:p>
        </w:tc>
      </w:tr>
      <w:tr w:rsidR="00AF3756" w:rsidRPr="00AF3756" w14:paraId="2D69F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213D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lastRenderedPageBreak/>
              <w:t>NCIE-015</w:t>
            </w:r>
          </w:p>
        </w:tc>
        <w:tc>
          <w:tcPr>
            <w:tcW w:w="0" w:type="auto"/>
            <w:vAlign w:val="center"/>
            <w:hideMark/>
          </w:tcPr>
          <w:p w14:paraId="12EBEDD1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 xml:space="preserve">NCIE </w:t>
            </w:r>
            <w:proofErr w:type="spellStart"/>
            <w:r w:rsidRPr="00AF3756">
              <w:rPr>
                <w:b/>
                <w:bCs/>
                <w:lang w:val="en-GH"/>
              </w:rPr>
              <w:t>DevSecOps</w:t>
            </w:r>
            <w:proofErr w:type="spellEnd"/>
            <w:r w:rsidRPr="00AF3756">
              <w:rPr>
                <w:b/>
                <w:bCs/>
                <w:lang w:val="en-GH"/>
              </w:rPr>
              <w:t>, Infrastructure &amp; Deployment Specification</w:t>
            </w:r>
          </w:p>
        </w:tc>
        <w:tc>
          <w:tcPr>
            <w:tcW w:w="0" w:type="auto"/>
            <w:vAlign w:val="center"/>
            <w:hideMark/>
          </w:tcPr>
          <w:p w14:paraId="000F1770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E02D31E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Defines environments, CI/CD and deployment</w:t>
            </w:r>
          </w:p>
        </w:tc>
      </w:tr>
      <w:tr w:rsidR="00AF3756" w:rsidRPr="00AF3756" w14:paraId="29B6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3664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NCIE-016</w:t>
            </w:r>
          </w:p>
        </w:tc>
        <w:tc>
          <w:tcPr>
            <w:tcW w:w="0" w:type="auto"/>
            <w:vAlign w:val="center"/>
            <w:hideMark/>
          </w:tcPr>
          <w:p w14:paraId="03E47CF0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Testing, Verification &amp; Acceptance Specification</w:t>
            </w:r>
          </w:p>
        </w:tc>
        <w:tc>
          <w:tcPr>
            <w:tcW w:w="0" w:type="auto"/>
            <w:vAlign w:val="center"/>
            <w:hideMark/>
          </w:tcPr>
          <w:p w14:paraId="6F99B829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73AE6D7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 xml:space="preserve">Defines when the platform is </w:t>
            </w:r>
            <w:proofErr w:type="gramStart"/>
            <w:r w:rsidRPr="00AF3756">
              <w:rPr>
                <w:lang w:val="en-GH"/>
              </w:rPr>
              <w:t>actually complete</w:t>
            </w:r>
            <w:proofErr w:type="gramEnd"/>
          </w:p>
        </w:tc>
      </w:tr>
      <w:tr w:rsidR="00AF3756" w:rsidRPr="00AF3756" w14:paraId="74917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A0CA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NCIE-017</w:t>
            </w:r>
          </w:p>
        </w:tc>
        <w:tc>
          <w:tcPr>
            <w:tcW w:w="0" w:type="auto"/>
            <w:vAlign w:val="center"/>
            <w:hideMark/>
          </w:tcPr>
          <w:p w14:paraId="10B15C86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Implementation Roadmap &amp; Codex Build Plan</w:t>
            </w:r>
          </w:p>
        </w:tc>
        <w:tc>
          <w:tcPr>
            <w:tcW w:w="0" w:type="auto"/>
            <w:vAlign w:val="center"/>
            <w:hideMark/>
          </w:tcPr>
          <w:p w14:paraId="7F372CCF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2BF00E2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Converts architecture into build sequence</w:t>
            </w:r>
          </w:p>
        </w:tc>
      </w:tr>
      <w:tr w:rsidR="00AF3756" w:rsidRPr="00AF3756" w14:paraId="0A602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1CC84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NCIE-018</w:t>
            </w:r>
          </w:p>
        </w:tc>
        <w:tc>
          <w:tcPr>
            <w:tcW w:w="0" w:type="auto"/>
            <w:vAlign w:val="center"/>
            <w:hideMark/>
          </w:tcPr>
          <w:p w14:paraId="01CFA046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NCIE Codex Master Production Handover Package</w:t>
            </w:r>
          </w:p>
        </w:tc>
        <w:tc>
          <w:tcPr>
            <w:tcW w:w="0" w:type="auto"/>
            <w:vAlign w:val="center"/>
            <w:hideMark/>
          </w:tcPr>
          <w:p w14:paraId="15445960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b/>
                <w:bCs/>
                <w:lang w:val="en-GH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A257757" w14:textId="77777777" w:rsidR="00AF3756" w:rsidRPr="00AF3756" w:rsidRDefault="00AF3756" w:rsidP="00AF3756">
            <w:pPr>
              <w:rPr>
                <w:lang w:val="en-GH"/>
              </w:rPr>
            </w:pPr>
            <w:r w:rsidRPr="00AF3756">
              <w:rPr>
                <w:lang w:val="en-GH"/>
              </w:rPr>
              <w:t>Final execution contract and document index</w:t>
            </w:r>
          </w:p>
        </w:tc>
      </w:tr>
    </w:tbl>
    <w:p w14:paraId="79D10C70" w14:textId="4B55BD8C" w:rsidR="006556BD" w:rsidRPr="00AF3756" w:rsidRDefault="00AF3756">
      <w:pPr>
        <w:rPr>
          <w:lang w:val="en-GH"/>
        </w:rPr>
      </w:pPr>
      <w:r w:rsidRPr="00AF3756">
        <w:rPr>
          <w:b/>
          <w:bCs/>
          <w:lang w:val="en-GH"/>
        </w:rPr>
        <w:t>Total: 18 documents / 312 chapters.</w:t>
      </w:r>
    </w:p>
    <w:sectPr w:rsidR="006556BD" w:rsidRPr="00AF3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56"/>
    <w:rsid w:val="006556BD"/>
    <w:rsid w:val="00AF3756"/>
    <w:rsid w:val="00B67583"/>
    <w:rsid w:val="00B75868"/>
    <w:rsid w:val="00BD7B28"/>
    <w:rsid w:val="00BF5151"/>
    <w:rsid w:val="00C4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22CA"/>
  <w15:chartTrackingRefBased/>
  <w15:docId w15:val="{200F02C5-768B-42D5-8AAE-901CC54D6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75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75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7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7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7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75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75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7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7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75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7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E. Barton-Odro</dc:creator>
  <cp:keywords/>
  <dc:description/>
  <cp:lastModifiedBy>Clive E. Barton-Odro</cp:lastModifiedBy>
  <cp:revision>1</cp:revision>
  <dcterms:created xsi:type="dcterms:W3CDTF">2026-08-12T12:48:00Z</dcterms:created>
  <dcterms:modified xsi:type="dcterms:W3CDTF">2026-08-12T12:49:00Z</dcterms:modified>
</cp:coreProperties>
</file>