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Georgia" w:cs="Georgia" w:eastAsia="Georgia" w:hAnsi="Georgia"/>
          <w:b/>
          <w:bCs/>
          <w:color w:val="D4952B"/>
          <w:sz w:val="72"/>
          <w:szCs w:val="72"/>
        </w:rPr>
        <w:t xml:space="preserve">Silicon</w:t>
      </w:r>
      <w:r>
        <w:rPr>
          <w:rFonts w:ascii="Georgia" w:cs="Georgia" w:eastAsia="Georgia" w:hAnsi="Georgia"/>
          <w:color w:val="6B7280"/>
          <w:sz w:val="72"/>
          <w:szCs w:val="72"/>
        </w:rPr>
        <w:t xml:space="preserve"> &amp; </w:t>
      </w:r>
      <w:r>
        <w:rPr>
          <w:rFonts w:ascii="Georgia" w:cs="Georgia" w:eastAsia="Georgia" w:hAnsi="Georgia"/>
          <w:b/>
          <w:bCs/>
          <w:color w:val="4A9B9B"/>
          <w:sz w:val="72"/>
          <w:szCs w:val="72"/>
        </w:rPr>
        <w:t xml:space="preserve">Stone</w:t>
      </w:r>
    </w:p>
    <w:p>
      <w:pPr>
        <w:spacing w:after="400" w:before="200"/>
      </w:pPr>
      <w:r>
        <w:rPr>
          <w:rFonts w:ascii="Georgia" w:cs="Georgia" w:eastAsia="Georgia" w:hAnsi="Georgia"/>
          <w:i/>
          <w:iCs/>
          <w:color w:val="6B7280"/>
          <w:sz w:val="36"/>
          <w:szCs w:val="36"/>
        </w:rPr>
        <w:t xml:space="preserve">Forensic Technopolitics</w:t>
      </w:r>
    </w:p>
    <w:p>
      <w:pPr>
        <w:spacing w:after="80"/>
      </w:pPr>
      <w:r>
        <w:rPr>
          <w:rFonts w:ascii="Georgia" w:cs="Georgia" w:eastAsia="Georgia" w:hAnsi="Georgia"/>
          <w:b/>
          <w:bCs/>
          <w:color w:val="1A1F2E"/>
          <w:sz w:val="44"/>
          <w:szCs w:val="44"/>
        </w:rPr>
        <w:t xml:space="preserve">Platform Overview</w:t>
      </w:r>
    </w:p>
    <w:p>
      <w:pPr>
        <w:spacing w:after="600"/>
      </w:pPr>
      <w:r>
        <w:rPr>
          <w:rFonts w:ascii="Arial" w:cs="Arial" w:eastAsia="Arial" w:hAnsi="Arial"/>
          <w:color w:val="6B7280"/>
          <w:sz w:val="24"/>
          <w:szCs w:val="24"/>
        </w:rPr>
        <w:t xml:space="preserve">Intelligence Portal, Research Pipeline &amp; Digital Products</w:t>
      </w:r>
    </w:p>
    <w:p>
      <w:pPr>
        <w:spacing w:after="80"/>
      </w:pPr>
      <w:r>
        <w:rPr>
          <w:rFonts w:ascii="Arial" w:cs="Arial" w:eastAsia="Arial" w:hAnsi="Arial"/>
          <w:color w:val="6B7280"/>
          <w:sz w:val="22"/>
          <w:szCs w:val="22"/>
        </w:rPr>
        <w:t xml:space="preserve">Prepared: March 2026</w:t>
      </w:r>
    </w:p>
    <w:p>
      <w:r>
        <w:rPr>
          <w:rFonts w:ascii="Arial" w:cs="Arial" w:eastAsia="Arial" w:hAnsi="Arial"/>
          <w:b/>
          <w:bCs/>
          <w:color w:val="4A9B9B"/>
          <w:sz w:val="22"/>
          <w:szCs w:val="22"/>
        </w:rPr>
        <w:t xml:space="preserve">Status: Production-Ready</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color w:val="333333"/>
          <w:sz w:val="22"/>
          <w:szCs w:val="22"/>
        </w:rPr>
        <w:t xml:space="preserve">Silicon and Stone is an intelligence platform for forensic technopolitics — delivering actionable analysis at the intersection of AI regulation, semiconductor supply chains, and digital sovereignty to European decision-makers.</w:t>
      </w:r>
    </w:p>
    <w:p>
      <w:pPr>
        <w:spacing w:after="120"/>
      </w:pPr>
      <w:r>
        <w:rPr>
          <w:rFonts w:ascii="Arial" w:cs="Arial" w:eastAsia="Arial" w:hAnsi="Arial"/>
          <w:color w:val="333333"/>
          <w:sz w:val="22"/>
          <w:szCs w:val="22"/>
        </w:rPr>
        <w:t xml:space="preserve">The platform combines a public-facing website with an AI-powered research pipeline, embedded content management system, interactive analytical tools, and a digital product commerce layer. It is designed to serve five distinct professional personas across compliance, operations, policy, regional development, and informed general audiences.</w:t>
      </w:r>
    </w:p>
    <w:p>
      <w:pPr>
        <w:spacing w:after="120"/>
      </w:pPr>
      <w:r>
        <w:rPr>
          <w:rFonts w:ascii="Arial" w:cs="Arial" w:eastAsia="Arial" w:hAnsi="Arial"/>
          <w:color w:val="333333"/>
          <w:sz w:val="22"/>
          <w:szCs w:val="22"/>
        </w:rPr>
        <w:t xml:space="preserve">The core innovation is the research pipeline: connecting RSS feed aggregation (Inoreader), neural web search (Exa.ai), and AI synthesis (Anthropic Claude) to rapidly produce forensic analysis from curated sources — transforming hours of research into structured intelligence drafts in minutes.</w:t>
      </w:r>
    </w:p>
    <w:p>
      <w:pPr>
        <w:spacing w:after="80"/>
      </w:pPr>
      <w:r>
        <w:rPr>
          <w:rFonts w:ascii="Arial" w:cs="Arial" w:eastAsia="Arial" w:hAnsi="Arial"/>
          <w:b/>
          <w:bCs/>
          <w:color w:val="1A1F2E"/>
          <w:sz w:val="22"/>
          <w:szCs w:val="22"/>
        </w:rPr>
        <w:t xml:space="preserve">Target Revenue: </w:t>
      </w:r>
      <w:r>
        <w:rPr>
          <w:rFonts w:ascii="Arial" w:cs="Arial" w:eastAsia="Arial" w:hAnsi="Arial"/>
          <w:color w:val="333333"/>
          <w:sz w:val="22"/>
          <w:szCs w:val="22"/>
        </w:rPr>
        <w:t xml:space="preserve">£7,000–10,000/month within 18–24 months via consulting (35–40%), digital products (25–30%), paid newsletter (18–20%), sponsorship (10–15%), and YouTube ad revenue (3–5%).</w:t>
      </w:r>
    </w:p>
    <w:p>
      <w:r>
        <w:br w:type="page"/>
      </w:r>
    </w:p>
    <w:p>
      <w:pPr>
        <w:pStyle w:val="Heading1"/>
      </w:pPr>
      <w:r>
        <w:t xml:space="preserve">The Website</w:t>
      </w:r>
    </w:p>
    <w:p>
      <w:pPr>
        <w:spacing w:after="120"/>
      </w:pPr>
      <w:r>
        <w:rPr>
          <w:rFonts w:ascii="Arial" w:cs="Arial" w:eastAsia="Arial" w:hAnsi="Arial"/>
          <w:color w:val="333333"/>
          <w:sz w:val="22"/>
          <w:szCs w:val="22"/>
        </w:rPr>
        <w:t xml:space="preserve">The public website serves as both an intelligence portal and a business development engine. Built on Next.js 15 with server-side rendering for performance and SEO, it presents analysis through a distinctive dark-theme design language (“Grounded Futurity”) with custom typography and a forensic aesthetic.</w:t>
      </w:r>
    </w:p>
    <w:p>
      <w:pPr>
        <w:pStyle w:val="Heading2"/>
      </w:pPr>
      <w:r>
        <w:t xml:space="preserve">Public Pages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Page</w:t>
            </w:r>
          </w:p>
        </w:tc>
        <w:tc>
          <w:tcPr>
            <w:tcW w:type="dxa" w:w="42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Purpose</w:t>
            </w:r>
          </w:p>
        </w:tc>
        <w:tc>
          <w:tcPr>
            <w:tcW w:type="dxa" w:w="27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Status</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Home</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Hero, Intelligence Stream (featured + 6 recent articles), tools grid, newsletter subscribe CTA</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Analysis</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Article archive with category sidebar filtering (8 categories)</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Briefings</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Tiered intelligence portal: Pulse (30s scan), Briefing (5min read), Audit (deep dive). Persona filtering by decision-maker type.</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Methodology</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Four Analytical Lenses: Supply Chain Forensics, Policy Stress-Testing, Scenario Modeling, Signal Filtering</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Services</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Advisory tiers (Briefing, Focused Assessment, Strategic Assessment), contact form connected to ConvertKit</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Products</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Digital product hub: AI Act Toolkit (£79/£149), Audit Checklist (£24), Sector Briefings (£39)</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About</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30-year timeline, analytical principles, current focus areas</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Search</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Full-text article search across all published content</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Privacy &amp; Terms</w:t>
            </w:r>
          </w:p>
        </w:tc>
        <w:tc>
          <w:tcPr>
            <w:tcW w:type="dxa" w:w="4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GDPR-compliant privacy policy and terms of service (Scottish law)</w:t>
            </w:r>
          </w:p>
        </w:tc>
        <w:tc>
          <w:tcPr>
            <w:tcW w:type="dxa" w:w="2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Live</w:t>
            </w:r>
          </w:p>
        </w:tc>
      </w:tr>
    </w:tbl>
    <w:p>
      <w:pPr>
        <w:pStyle w:val="Heading2"/>
      </w:pPr>
      <w:r>
        <w:t xml:space="preserve">Content Architecture</w:t>
      </w:r>
    </w:p>
    <w:p>
      <w:pPr>
        <w:spacing w:after="120"/>
      </w:pPr>
      <w:r>
        <w:rPr>
          <w:rFonts w:ascii="Arial" w:cs="Arial" w:eastAsia="Arial" w:hAnsi="Arial"/>
          <w:color w:val="333333"/>
          <w:sz w:val="22"/>
          <w:szCs w:val="22"/>
        </w:rPr>
        <w:t xml:space="preserve">Content is organised around three intelligence tiers, each serving different reader needs:</w:t>
      </w:r>
    </w:p>
    <w:p>
      <w:pPr>
        <w:pStyle w:val="ListParagraph"/>
        <w:numPr>
          <w:ilvl w:val="0"/>
          <w:numId w:val="2"/>
        </w:numPr>
        <w:spacing w:after="60"/>
      </w:pPr>
      <w:r>
        <w:rPr>
          <w:rFonts w:ascii="Arial" w:cs="Arial" w:eastAsia="Arial" w:hAnsi="Arial"/>
          <w:b/>
          <w:bCs/>
          <w:color w:val="333333"/>
          <w:sz w:val="22"/>
          <w:szCs w:val="22"/>
        </w:rPr>
        <w:t xml:space="preserve">Pulse</w:t>
      </w:r>
      <w:r>
        <w:rPr>
          <w:rFonts w:ascii="Arial" w:cs="Arial" w:eastAsia="Arial" w:hAnsi="Arial"/>
          <w:color w:val="333333"/>
          <w:sz w:val="22"/>
          <w:szCs w:val="22"/>
        </w:rPr>
        <w:t xml:space="preserve"> — 30-second scan. The headline signal and why it matters.</w:t>
      </w:r>
    </w:p>
    <w:p>
      <w:pPr>
        <w:pStyle w:val="ListParagraph"/>
        <w:numPr>
          <w:ilvl w:val="0"/>
          <w:numId w:val="2"/>
        </w:numPr>
        <w:spacing w:after="60"/>
      </w:pPr>
      <w:r>
        <w:rPr>
          <w:rFonts w:ascii="Arial" w:cs="Arial" w:eastAsia="Arial" w:hAnsi="Arial"/>
          <w:b/>
          <w:bCs/>
          <w:color w:val="333333"/>
          <w:sz w:val="22"/>
          <w:szCs w:val="22"/>
        </w:rPr>
        <w:t xml:space="preserve">Briefing</w:t>
      </w:r>
      <w:r>
        <w:rPr>
          <w:rFonts w:ascii="Arial" w:cs="Arial" w:eastAsia="Arial" w:hAnsi="Arial"/>
          <w:color w:val="333333"/>
          <w:sz w:val="22"/>
          <w:szCs w:val="22"/>
        </w:rPr>
        <w:t xml:space="preserve"> — 5-minute read. Actionable analysis with context and recommendations.</w:t>
      </w:r>
    </w:p>
    <w:p>
      <w:pPr>
        <w:pStyle w:val="ListParagraph"/>
        <w:numPr>
          <w:ilvl w:val="0"/>
          <w:numId w:val="2"/>
        </w:numPr>
        <w:spacing w:after="120"/>
      </w:pPr>
      <w:r>
        <w:rPr>
          <w:rFonts w:ascii="Arial" w:cs="Arial" w:eastAsia="Arial" w:hAnsi="Arial"/>
          <w:b/>
          <w:bCs/>
          <w:color w:val="333333"/>
          <w:sz w:val="22"/>
          <w:szCs w:val="22"/>
        </w:rPr>
        <w:t xml:space="preserve">Audit</w:t>
      </w:r>
      <w:r>
        <w:rPr>
          <w:rFonts w:ascii="Arial" w:cs="Arial" w:eastAsia="Arial" w:hAnsi="Arial"/>
          <w:color w:val="333333"/>
          <w:sz w:val="22"/>
          <w:szCs w:val="22"/>
        </w:rPr>
        <w:t xml:space="preserve"> — Deep forensic investigation. Comprehensive analysis with methodology applied.</w:t>
      </w:r>
    </w:p>
    <w:p>
      <w:pPr>
        <w:spacing w:after="120"/>
      </w:pPr>
      <w:r>
        <w:rPr>
          <w:rFonts w:ascii="Arial" w:cs="Arial" w:eastAsia="Arial" w:hAnsi="Arial"/>
          <w:color w:val="333333"/>
          <w:sz w:val="22"/>
          <w:szCs w:val="22"/>
        </w:rPr>
        <w:t xml:space="preserve">Each article carries an impact score (1–10), methodology pillar tags, persona relevance markers, and actionable insights — enabling readers to quickly assess relevance to their role and responsibilities.</w:t>
      </w:r>
    </w:p>
    <w:p>
      <w:pPr>
        <w:pStyle w:val="Heading2"/>
      </w:pPr>
      <w:r>
        <w:t xml:space="preserve">Five Target Personas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Persona</w:t>
            </w:r>
          </w:p>
        </w:tc>
        <w:tc>
          <w:tcPr>
            <w:tcW w:type="dxa" w:w="22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Role</w:t>
            </w:r>
          </w:p>
        </w:tc>
        <w:tc>
          <w:tcPr>
            <w:tcW w:type="dxa" w:w="24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Key Concerns</w:t>
            </w:r>
          </w:p>
        </w:tc>
        <w:tc>
          <w:tcPr>
            <w:tcW w:type="dxa" w:w="29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Content Needs</w:t>
            </w:r>
          </w:p>
        </w:tc>
      </w:tr>
      <w:tr>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Compliance Clara</w:t>
            </w:r>
          </w:p>
        </w:tc>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Legal/Compliance Officer</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AI Act deadlines, risk frameworks</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Checklists, deadline trackers, legal guidance</w:t>
            </w:r>
          </w:p>
        </w:tc>
      </w:tr>
      <w:tr>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Industrial Ian</w:t>
            </w:r>
          </w:p>
        </w:tc>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Supply Chain/Ops Manager</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Disruption, foundry capacity, export controls</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Supply chain maps, risk assessments</w:t>
            </w:r>
          </w:p>
        </w:tc>
      </w:tr>
      <w:tr>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Sovereign Sofia</w:t>
            </w:r>
          </w:p>
        </w:tc>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Policy Analyst</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Tech sovereignty, industrial policy</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Comparative policy analysis</w:t>
            </w:r>
          </w:p>
        </w:tc>
      </w:tr>
      <w:tr>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Remote Robert</w:t>
            </w:r>
          </w:p>
        </w:tc>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Regional Development</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Economic impact, workforce, investment</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Regional case studies, economic analysis</w:t>
            </w:r>
          </w:p>
        </w:tc>
      </w:tr>
      <w:tr>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Global Citizen</w:t>
            </w:r>
          </w:p>
        </w:tc>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Informed Public</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Tech/society, democratic oversight</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Accessible explainers, impact summaries</w:t>
            </w:r>
          </w:p>
        </w:tc>
      </w:tr>
    </w:tbl>
    <w:p>
      <w:r>
        <w:br w:type="page"/>
      </w:r>
    </w:p>
    <w:p>
      <w:pPr>
        <w:pStyle w:val="Heading1"/>
      </w:pPr>
      <w:r>
        <w:t xml:space="preserve">Interactive Analytical Tools</w:t>
      </w:r>
    </w:p>
    <w:p>
      <w:pPr>
        <w:spacing w:after="120"/>
      </w:pPr>
      <w:r>
        <w:rPr>
          <w:rFonts w:ascii="Arial" w:cs="Arial" w:eastAsia="Arial" w:hAnsi="Arial"/>
          <w:color w:val="333333"/>
          <w:sz w:val="22"/>
          <w:szCs w:val="22"/>
        </w:rPr>
        <w:t xml:space="preserve">The website includes four interactive tools that demonstrate the forensic methodology and serve as entry points for advisory engagements. Each tool provides immediate value while naturally leading users toward deeper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Tool</w:t>
            </w:r>
          </w:p>
        </w:tc>
        <w:tc>
          <w:tcPr>
            <w:tcW w:type="dxa" w:w="50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What It Does</w:t>
            </w:r>
          </w:p>
        </w:tc>
        <w:tc>
          <w:tcPr>
            <w:tcW w:type="dxa" w:w="21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Framework</w:t>
            </w:r>
          </w:p>
        </w:tc>
      </w:tr>
      <w:tr>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Compliance Checker</w:t>
            </w:r>
          </w:p>
        </w:tc>
        <w:tc>
          <w:tcPr>
            <w:tcW w:type="dxa" w:w="5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EU AI Act risk classification tool. Users answer questions about their AI systems and receive a risk category with specific compliance obligations.</w:t>
            </w:r>
          </w:p>
        </w:tc>
        <w:tc>
          <w:tcPr>
            <w:tcW w:type="dxa" w:w="21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Signal Filtering</w:t>
            </w:r>
          </w:p>
        </w:tc>
      </w:tr>
      <w:tr>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Supply Chain Mapper</w:t>
            </w:r>
          </w:p>
        </w:tc>
        <w:tc>
          <w:tcPr>
            <w:tcW w:type="dxa" w:w="5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Interactive map visualising semiconductor supply chain nodes, connections, and geographic concentration risks using MapLibre GL.</w:t>
            </w:r>
          </w:p>
        </w:tc>
        <w:tc>
          <w:tcPr>
            <w:tcW w:type="dxa" w:w="21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Supply Chain Forensics</w:t>
            </w:r>
          </w:p>
        </w:tc>
      </w:tr>
      <w:tr>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Scenario Modeler</w:t>
            </w:r>
          </w:p>
        </w:tc>
        <w:tc>
          <w:tcPr>
            <w:tcW w:type="dxa" w:w="5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Geopolitical scenario comparison tool. Models low/medium/high friction scenarios with quantified impact metrics.</w:t>
            </w:r>
          </w:p>
        </w:tc>
        <w:tc>
          <w:tcPr>
            <w:tcW w:type="dxa" w:w="21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Drift Modeling</w:t>
            </w:r>
          </w:p>
        </w:tc>
      </w:tr>
      <w:tr>
        <w:tc>
          <w:tcPr>
            <w:tcW w:type="dxa" w:w="2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Policy Stress-Test</w:t>
            </w:r>
          </w:p>
        </w:tc>
        <w:tc>
          <w:tcPr>
            <w:tcW w:type="dxa" w:w="5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US vs EU regulatory friction scoring. Analyses compliance conflicts across jurisdictions with friction heat maps.</w:t>
            </w:r>
          </w:p>
        </w:tc>
        <w:tc>
          <w:tcPr>
            <w:tcW w:type="dxa" w:w="21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Policy Stress-Testing</w:t>
            </w:r>
          </w:p>
        </w:tc>
      </w:tr>
    </w:tbl>
    <w:p>
      <w:pPr>
        <w:spacing w:after="120"/>
      </w:pPr>
      <w:r>
        <w:rPr>
          <w:rFonts w:ascii="Arial" w:cs="Arial" w:eastAsia="Arial" w:hAnsi="Arial"/>
          <w:color w:val="333333"/>
          <w:sz w:val="22"/>
          <w:szCs w:val="22"/>
        </w:rPr>
        <w:t xml:space="preserve">These tools are fully client-side — no user data is collected or stored. They serve as demonstrations of analytical capability, with each tool linking to related advisory services for organisations needing customised analysis.</w:t>
      </w:r>
    </w:p>
    <w:p>
      <w:r>
        <w:br w:type="page"/>
      </w:r>
    </w:p>
    <w:p>
      <w:pPr>
        <w:pStyle w:val="Heading1"/>
      </w:pPr>
      <w:r>
        <w:t xml:space="preserve">Admin Facilities &amp; Research Pipeline</w:t>
      </w:r>
    </w:p>
    <w:p>
      <w:pPr>
        <w:spacing w:after="120"/>
      </w:pPr>
      <w:r>
        <w:rPr>
          <w:rFonts w:ascii="Arial" w:cs="Arial" w:eastAsia="Arial" w:hAnsi="Arial"/>
          <w:color w:val="333333"/>
          <w:sz w:val="22"/>
          <w:szCs w:val="22"/>
        </w:rPr>
        <w:t xml:space="preserve">The admin dashboard (password-protected) provides a complete content creation and research environment. This is the operational engine of the platform.</w:t>
      </w:r>
    </w:p>
    <w:p>
      <w:pPr>
        <w:pStyle w:val="Heading2"/>
      </w:pPr>
      <w:r>
        <w:t xml:space="preserve">Research Pipeline</w:t>
      </w:r>
    </w:p>
    <w:p>
      <w:pPr>
        <w:spacing w:after="120"/>
      </w:pPr>
      <w:r>
        <w:rPr>
          <w:rFonts w:ascii="Arial" w:cs="Arial" w:eastAsia="Arial" w:hAnsi="Arial"/>
          <w:color w:val="333333"/>
          <w:sz w:val="22"/>
          <w:szCs w:val="22"/>
        </w:rPr>
        <w:t xml:space="preserve">The core innovation: an AI-powered research synthesis system that transforms a topic query into a structured intelligence draft. The pipeline operates in three stages:</w:t>
      </w:r>
    </w:p>
    <w:p>
      <w:pPr>
        <w:pStyle w:val="ListParagraph"/>
        <w:numPr>
          <w:ilvl w:val="0"/>
          <w:numId w:val="2"/>
        </w:numPr>
        <w:spacing w:after="60"/>
      </w:pPr>
      <w:r>
        <w:rPr>
          <w:rFonts w:ascii="Arial" w:cs="Arial" w:eastAsia="Arial" w:hAnsi="Arial"/>
          <w:b/>
          <w:bCs/>
          <w:color w:val="333333"/>
          <w:sz w:val="22"/>
          <w:szCs w:val="22"/>
        </w:rPr>
        <w:t xml:space="preserve">Inoreader Search</w:t>
      </w:r>
      <w:r>
        <w:rPr>
          <w:rFonts w:ascii="Arial" w:cs="Arial" w:eastAsia="Arial" w:hAnsi="Arial"/>
          <w:color w:val="333333"/>
          <w:sz w:val="22"/>
          <w:szCs w:val="22"/>
        </w:rPr>
        <w:t xml:space="preserve"> — searches the curator’s personal reading list (OAuth2-authenticated) for relevant saved articles. This is the “human signal filtering” layer — sources already vetted through 30 years of editorial judgement.</w:t>
      </w:r>
    </w:p>
    <w:p>
      <w:pPr>
        <w:pStyle w:val="ListParagraph"/>
        <w:numPr>
          <w:ilvl w:val="0"/>
          <w:numId w:val="2"/>
        </w:numPr>
        <w:spacing w:after="60"/>
      </w:pPr>
      <w:r>
        <w:rPr>
          <w:rFonts w:ascii="Arial" w:cs="Arial" w:eastAsia="Arial" w:hAnsi="Arial"/>
          <w:b/>
          <w:bCs/>
          <w:color w:val="333333"/>
          <w:sz w:val="22"/>
          <w:szCs w:val="22"/>
        </w:rPr>
        <w:t xml:space="preserve">Exa.ai Web Search</w:t>
      </w:r>
      <w:r>
        <w:rPr>
          <w:rFonts w:ascii="Arial" w:cs="Arial" w:eastAsia="Arial" w:hAnsi="Arial"/>
          <w:color w:val="333333"/>
          <w:sz w:val="22"/>
          <w:szCs w:val="22"/>
        </w:rPr>
        <w:t xml:space="preserve"> — neural semantic search across the broader web, returning the 5 most relevant results with text extraction and highlights.</w:t>
      </w:r>
    </w:p>
    <w:p>
      <w:pPr>
        <w:pStyle w:val="ListParagraph"/>
        <w:numPr>
          <w:ilvl w:val="0"/>
          <w:numId w:val="2"/>
        </w:numPr>
        <w:spacing w:after="120"/>
      </w:pPr>
      <w:r>
        <w:rPr>
          <w:rFonts w:ascii="Arial" w:cs="Arial" w:eastAsia="Arial" w:hAnsi="Arial"/>
          <w:b/>
          <w:bCs/>
          <w:color w:val="333333"/>
          <w:sz w:val="22"/>
          <w:szCs w:val="22"/>
        </w:rPr>
        <w:t xml:space="preserve">Claude AI Synthesis</w:t>
      </w:r>
      <w:r>
        <w:rPr>
          <w:rFonts w:ascii="Arial" w:cs="Arial" w:eastAsia="Arial" w:hAnsi="Arial"/>
          <w:color w:val="333333"/>
          <w:sz w:val="22"/>
          <w:szCs w:val="22"/>
        </w:rPr>
        <w:t xml:space="preserve"> — Anthropic’s Claude (3.7 Sonnet) analyses all gathered sources and produces a forensic summary with cited sources, suggested keywords, and persona-specific pain points.</w:t>
      </w:r>
    </w:p>
    <w:p>
      <w:pPr>
        <w:spacing w:after="120"/>
      </w:pPr>
      <w:r>
        <w:rPr>
          <w:rFonts w:ascii="Arial" w:cs="Arial" w:eastAsia="Arial" w:hAnsi="Arial"/>
          <w:color w:val="333333"/>
          <w:sz w:val="22"/>
          <w:szCs w:val="22"/>
        </w:rPr>
        <w:t xml:space="preserve">From the research results, the system can generate a full article draft (Signal or Deep Dive format) targeted at a specific persona, which is saved as an unpublished draft in the CMS for human review and editing before publication.</w:t>
      </w:r>
    </w:p>
    <w:p>
      <w:pPr>
        <w:pStyle w:val="Heading2"/>
      </w:pPr>
      <w:r>
        <w:t xml:space="preserve">Admin Pages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Route</w:t>
            </w:r>
          </w:p>
        </w:tc>
        <w:tc>
          <w:tcPr>
            <w:tcW w:type="dxa" w:w="73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Function</w:t>
            </w:r>
          </w:p>
        </w:tc>
      </w:tr>
      <w:tr>
        <w:tc>
          <w:tcPr>
            <w:tcW w:type="dxa" w:w="2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/admin</w:t>
            </w:r>
          </w:p>
        </w:tc>
        <w:tc>
          <w:tcPr>
            <w:tcW w:type="dxa" w:w="73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Dashboard: mission status, voice DNA traits, persona overview, quick-action buttons</w:t>
            </w:r>
          </w:p>
        </w:tc>
      </w:tr>
      <w:tr>
        <w:tc>
          <w:tcPr>
            <w:tcW w:type="dxa" w:w="2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/create</w:t>
            </w:r>
          </w:p>
        </w:tc>
        <w:tc>
          <w:tcPr>
            <w:tcW w:type="dxa" w:w="73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Unified creation pipeline: choose format (Signal/Deep Dive/Research), select persona, enter topic, launch research agent, generate draft</w:t>
            </w:r>
          </w:p>
        </w:tc>
      </w:tr>
      <w:tr>
        <w:tc>
          <w:tcPr>
            <w:tcW w:type="dxa" w:w="2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/research</w:t>
            </w:r>
          </w:p>
        </w:tc>
        <w:tc>
          <w:tcPr>
            <w:tcW w:type="dxa" w:w="73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Research intelligence page with Inoreader status, topic search, source analysis, and context update suggestions</w:t>
            </w:r>
          </w:p>
        </w:tc>
      </w:tr>
      <w:tr>
        <w:tc>
          <w:tcPr>
            <w:tcW w:type="dxa" w:w="2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/generate</w:t>
            </w:r>
          </w:p>
        </w:tc>
        <w:tc>
          <w:tcPr>
            <w:tcW w:type="dxa" w:w="73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Direct AI content generation with Claude for article drafting</w:t>
            </w:r>
          </w:p>
        </w:tc>
      </w:tr>
      <w:tr>
        <w:tc>
          <w:tcPr>
            <w:tcW w:type="dxa" w:w="2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/context</w:t>
            </w:r>
          </w:p>
        </w:tc>
        <w:tc>
          <w:tcPr>
            <w:tcW w:type="dxa" w:w="73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View and edit Voice DNA, Ideal Customer Profile, and Business Profile — the brand context that guides all AI-generated content</w:t>
            </w:r>
          </w:p>
        </w:tc>
      </w:tr>
      <w:tr>
        <w:tc>
          <w:tcPr>
            <w:tcW w:type="dxa" w:w="2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/editor</w:t>
            </w:r>
          </w:p>
        </w:tc>
        <w:tc>
          <w:tcPr>
            <w:tcW w:type="dxa" w:w="73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Raw article editor for manual content creation and editing</w:t>
            </w:r>
          </w:p>
        </w:tc>
      </w:tr>
      <w:tr>
        <w:tc>
          <w:tcPr>
            <w:tcW w:type="dxa" w:w="2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/studio</w:t>
            </w:r>
          </w:p>
        </w:tc>
        <w:tc>
          <w:tcPr>
            <w:tcW w:type="dxa" w:w="73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Full embedded Sanity Studio CMS for content management, publishing workflows, and media handling</w:t>
            </w:r>
          </w:p>
        </w:tc>
      </w:tr>
    </w:tbl>
    <w:p>
      <w:pPr>
        <w:pStyle w:val="Heading2"/>
      </w:pPr>
      <w:r>
        <w:t xml:space="preserve">Content Management (Sanity CMS)</w:t>
      </w:r>
    </w:p>
    <w:p>
      <w:pPr>
        <w:spacing w:after="120"/>
      </w:pPr>
      <w:r>
        <w:rPr>
          <w:rFonts w:ascii="Arial" w:cs="Arial" w:eastAsia="Arial" w:hAnsi="Arial"/>
          <w:color w:val="333333"/>
          <w:sz w:val="22"/>
          <w:szCs w:val="22"/>
        </w:rPr>
        <w:t xml:space="preserve">Content is managed through Sanity, a headless CMS embedded directly in the platform at /studio. The schema supports:</w:t>
      </w:r>
    </w:p>
    <w:p>
      <w:pPr>
        <w:pStyle w:val="ListParagraph"/>
        <w:numPr>
          <w:ilvl w:val="0"/>
          <w:numId w:val="2"/>
        </w:numPr>
        <w:spacing w:after="60"/>
      </w:pPr>
      <w:r>
        <w:rPr>
          <w:rFonts w:ascii="Arial" w:cs="Arial" w:eastAsia="Arial" w:hAnsi="Arial"/>
          <w:b/>
          <w:bCs/>
          <w:color w:val="333333"/>
          <w:sz w:val="22"/>
          <w:szCs w:val="22"/>
        </w:rPr>
        <w:t xml:space="preserve">Articles</w:t>
      </w:r>
      <w:r>
        <w:rPr>
          <w:rFonts w:ascii="Arial" w:cs="Arial" w:eastAsia="Arial" w:hAnsi="Arial"/>
          <w:color w:val="333333"/>
          <w:sz w:val="22"/>
          <w:szCs w:val="22"/>
        </w:rPr>
        <w:t xml:space="preserve"> with rich Portable Text, intelligence tier classification, impact scoring, methodology tagging, persona relevance, and SEO metadata</w:t>
      </w:r>
    </w:p>
    <w:p>
      <w:pPr>
        <w:pStyle w:val="ListParagraph"/>
        <w:numPr>
          <w:ilvl w:val="0"/>
          <w:numId w:val="2"/>
        </w:numPr>
        <w:spacing w:after="60"/>
      </w:pPr>
      <w:r>
        <w:rPr>
          <w:rFonts w:ascii="Arial" w:cs="Arial" w:eastAsia="Arial" w:hAnsi="Arial"/>
          <w:b/>
          <w:bCs/>
          <w:color w:val="333333"/>
          <w:sz w:val="22"/>
          <w:szCs w:val="22"/>
        </w:rPr>
        <w:t xml:space="preserve">Authors, Categories, and Personas</w:t>
      </w:r>
      <w:r>
        <w:rPr>
          <w:rFonts w:ascii="Arial" w:cs="Arial" w:eastAsia="Arial" w:hAnsi="Arial"/>
          <w:color w:val="333333"/>
          <w:sz w:val="22"/>
          <w:szCs w:val="22"/>
        </w:rPr>
        <w:t xml:space="preserve"> as structured reference documents</w:t>
      </w:r>
    </w:p>
    <w:p>
      <w:pPr>
        <w:pStyle w:val="ListParagraph"/>
        <w:numPr>
          <w:ilvl w:val="0"/>
          <w:numId w:val="2"/>
        </w:numPr>
        <w:spacing w:after="60"/>
      </w:pPr>
      <w:r>
        <w:rPr>
          <w:rFonts w:ascii="Arial" w:cs="Arial" w:eastAsia="Arial" w:hAnsi="Arial"/>
          <w:b/>
          <w:bCs/>
          <w:color w:val="333333"/>
          <w:sz w:val="22"/>
          <w:szCs w:val="22"/>
        </w:rPr>
        <w:t xml:space="preserve">Site Settings</w:t>
      </w:r>
      <w:r>
        <w:rPr>
          <w:rFonts w:ascii="Arial" w:cs="Arial" w:eastAsia="Arial" w:hAnsi="Arial"/>
          <w:color w:val="333333"/>
          <w:sz w:val="22"/>
          <w:szCs w:val="22"/>
        </w:rPr>
        <w:t xml:space="preserve"> for global configuration (hero content, taglines)</w:t>
      </w:r>
    </w:p>
    <w:p>
      <w:pPr>
        <w:pStyle w:val="ListParagraph"/>
        <w:numPr>
          <w:ilvl w:val="0"/>
          <w:numId w:val="2"/>
        </w:numPr>
        <w:spacing w:after="120"/>
      </w:pPr>
      <w:r>
        <w:rPr>
          <w:rFonts w:ascii="Arial" w:cs="Arial" w:eastAsia="Arial" w:hAnsi="Arial"/>
          <w:b/>
          <w:bCs/>
          <w:color w:val="333333"/>
          <w:sz w:val="22"/>
          <w:szCs w:val="22"/>
        </w:rPr>
        <w:t xml:space="preserve">Image CDN</w:t>
      </w:r>
      <w:r>
        <w:rPr>
          <w:rFonts w:ascii="Arial" w:cs="Arial" w:eastAsia="Arial" w:hAnsi="Arial"/>
          <w:color w:val="333333"/>
          <w:sz w:val="22"/>
          <w:szCs w:val="22"/>
        </w:rPr>
        <w:t xml:space="preserve"> with automatic optimisation and responsive delivery</w:t>
      </w:r>
    </w:p>
    <w:p>
      <w:r>
        <w:br w:type="page"/>
      </w:r>
    </w:p>
    <w:p>
      <w:pPr>
        <w:pStyle w:val="Heading1"/>
      </w:pPr>
      <w:r>
        <w:t xml:space="preserve">Technology Stack &amp; External Services</w:t>
      </w:r>
    </w:p>
    <w:p>
      <w:pPr>
        <w:pStyle w:val="Heading2"/>
      </w:pPr>
      <w:r>
        <w:t xml:space="preserve">Platform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Technology</w:t>
            </w:r>
          </w:p>
        </w:tc>
        <w:tc>
          <w:tcPr>
            <w:tcW w:type="dxa" w:w="39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Framework</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Next.js 15 (App Router)</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Server-side rendering, static generation, API routes</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Frontend</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React 19, Tailwind CSS 4</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Component UI with custom design system</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Components</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shadcn/ui + Radix UI</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Accessible, composable UI primitives</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CMS</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Sanity v4.22</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Headless content management with embedded studio</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AI</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Anthropic Claude 3.7 Sonnet</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Research synthesis and content generation</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Web Search</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Exa.ai</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Neural semantic web search</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Feed Aggregation</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Inoreader (OAuth2)</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Curated RSS source search</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Maps</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MapLibre GL + react-map-gl</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Supply chain visualisation</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Animation</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Framer Motion</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Page transitions and micro-interactions</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Email</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ConvertKit (Kit)</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Newsletter subscribers, contact form, automation</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Hosting</w:t>
            </w:r>
          </w:p>
        </w:tc>
        <w:tc>
          <w:tcPr>
            <w:tcW w:type="dxa" w:w="3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Vercel (planned)</w:t>
            </w:r>
          </w:p>
        </w:tc>
        <w:tc>
          <w:tcPr>
            <w:tcW w:type="dxa" w:w="3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Edge deployment with custom domain</w:t>
            </w:r>
          </w:p>
        </w:tc>
      </w:tr>
    </w:tbl>
    <w:p>
      <w:r>
        <w:br w:type="page"/>
      </w:r>
    </w:p>
    <w:p>
      <w:pPr>
        <w:pStyle w:val="Heading1"/>
      </w:pPr>
      <w:r>
        <w:t xml:space="preserve">Digital Products &amp; Revenue</w:t>
      </w:r>
    </w:p>
    <w:p>
      <w:pPr>
        <w:pStyle w:val="Heading2"/>
      </w:pPr>
      <w:r>
        <w:t xml:space="preserve">Product Catalogue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Product</w:t>
            </w:r>
          </w:p>
        </w:tc>
        <w:tc>
          <w:tcPr>
            <w:tcW w:type="dxa" w:w="12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Price</w:t>
            </w:r>
          </w:p>
        </w:tc>
        <w:tc>
          <w:tcPr>
            <w:tcW w:type="dxa" w:w="57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AI Act Compliance Toolkit</w:t>
            </w:r>
          </w:p>
        </w:tc>
        <w:tc>
          <w:tcPr>
            <w:tcW w:type="dxa" w:w="1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£79 / £149</w:t>
            </w:r>
          </w:p>
        </w:tc>
        <w:tc>
          <w:tcPr>
            <w:tcW w:type="dxa" w:w="5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45–60 page PDF + 2 Excel spreadsheets. Risk classification decision tree, compliance checklists, template documents, timeline to August 2026 deadline. Professional package adds video walkthrough.</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AI Audit Checklist Pack</w:t>
            </w:r>
          </w:p>
        </w:tc>
        <w:tc>
          <w:tcPr>
            <w:tcW w:type="dxa" w:w="1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£24</w:t>
            </w:r>
          </w:p>
        </w:tc>
        <w:tc>
          <w:tcPr>
            <w:tcW w:type="dxa" w:w="5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Gateway product: AI Systems Inventory, Vendor Dependency Scorecard, Compliance Gap Analysis, Board-Ready Summary. Includes £20 discount on full Toolkit.</w:t>
            </w:r>
          </w:p>
        </w:tc>
      </w:tr>
      <w:tr>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Sector Briefings</w:t>
            </w:r>
          </w:p>
        </w:tc>
        <w:tc>
          <w:tcPr>
            <w:tcW w:type="dxa" w:w="12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£39 each</w:t>
            </w:r>
          </w:p>
        </w:tc>
        <w:tc>
          <w:tcPr>
            <w:tcW w:type="dxa" w:w="57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15–20 page sector-specific briefings: Manufacturing, Financial Services, Professional Services, Public Sector. Bundle: 3 for £99.</w:t>
            </w:r>
          </w:p>
        </w:tc>
      </w:tr>
    </w:tbl>
    <w:p>
      <w:pPr>
        <w:spacing w:after="120"/>
      </w:pPr>
      <w:r>
        <w:rPr>
          <w:rFonts w:ascii="Arial" w:cs="Arial" w:eastAsia="Arial" w:hAnsi="Arial"/>
          <w:color w:val="333333"/>
          <w:sz w:val="22"/>
          <w:szCs w:val="22"/>
        </w:rPr>
        <w:t xml:space="preserve">Products are sold via Payhip (handling EU VAT compliance) and referenced throughout the website’s content, tools, and newsletter as natural conversion points.</w:t>
      </w:r>
    </w:p>
    <w:p>
      <w:pPr>
        <w:pStyle w:val="Heading2"/>
      </w:pPr>
      <w:r>
        <w:t xml:space="preserve">Revenue Architecture (Target: Month 18–24)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400"/>
        <w:gridCol w:w="2560"/>
      </w:tblGrid>
      <w:tr>
        <w:trPr>
          <w:tblHeader/>
        </w:trPr>
        <w:tc>
          <w:tcPr>
            <w:tcW w:type="dxa" w:w="36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Stream</w:t>
            </w:r>
          </w:p>
        </w:tc>
        <w:tc>
          <w:tcPr>
            <w:tcW w:type="dxa" w:w="18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Monthly</w:t>
            </w:r>
          </w:p>
        </w:tc>
        <w:tc>
          <w:tcPr>
            <w:tcW w:type="dxa" w:w="14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 of Total</w:t>
            </w:r>
          </w:p>
        </w:tc>
        <w:tc>
          <w:tcPr>
            <w:tcW w:type="dxa" w:w="25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Source</w:t>
            </w:r>
          </w:p>
        </w:tc>
      </w:tr>
      <w:tr>
        <w:tc>
          <w:tcPr>
            <w:tcW w:type="dxa" w:w="36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Consulting &amp; Advisory</w:t>
            </w:r>
          </w:p>
        </w:tc>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£3,000–£4,000</w:t>
            </w:r>
          </w:p>
        </w:tc>
        <w:tc>
          <w:tcPr>
            <w:tcW w:type="dxa" w:w="1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35–40%</w:t>
            </w:r>
          </w:p>
        </w:tc>
        <w:tc>
          <w:tcPr>
            <w:tcW w:type="dxa" w:w="25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Inbound from content</w:t>
            </w:r>
          </w:p>
        </w:tc>
      </w:tr>
      <w:tr>
        <w:tc>
          <w:tcPr>
            <w:tcW w:type="dxa" w:w="36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Digital Products</w:t>
            </w:r>
          </w:p>
        </w:tc>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£2,000–£3,000</w:t>
            </w:r>
          </w:p>
        </w:tc>
        <w:tc>
          <w:tcPr>
            <w:tcW w:type="dxa" w:w="1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25–30%</w:t>
            </w:r>
          </w:p>
        </w:tc>
        <w:tc>
          <w:tcPr>
            <w:tcW w:type="dxa" w:w="25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Website + newsletter</w:t>
            </w:r>
          </w:p>
        </w:tc>
      </w:tr>
      <w:tr>
        <w:tc>
          <w:tcPr>
            <w:tcW w:type="dxa" w:w="36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Paid Newsletter</w:t>
            </w:r>
          </w:p>
        </w:tc>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£1,500–£2,000</w:t>
            </w:r>
          </w:p>
        </w:tc>
        <w:tc>
          <w:tcPr>
            <w:tcW w:type="dxa" w:w="1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18–20%</w:t>
            </w:r>
          </w:p>
        </w:tc>
        <w:tc>
          <w:tcPr>
            <w:tcW w:type="dxa" w:w="25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Substack premium tier</w:t>
            </w:r>
          </w:p>
        </w:tc>
      </w:tr>
      <w:tr>
        <w:tc>
          <w:tcPr>
            <w:tcW w:type="dxa" w:w="36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Sponsorship</w:t>
            </w:r>
          </w:p>
        </w:tc>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£750–£1,500</w:t>
            </w:r>
          </w:p>
        </w:tc>
        <w:tc>
          <w:tcPr>
            <w:tcW w:type="dxa" w:w="1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10–15%</w:t>
            </w:r>
          </w:p>
        </w:tc>
        <w:tc>
          <w:tcPr>
            <w:tcW w:type="dxa" w:w="25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YouTube integrations</w:t>
            </w:r>
          </w:p>
        </w:tc>
      </w:tr>
      <w:tr>
        <w:tc>
          <w:tcPr>
            <w:tcW w:type="dxa" w:w="36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YouTube Ad Revenue</w:t>
            </w:r>
          </w:p>
        </w:tc>
        <w:tc>
          <w:tcPr>
            <w:tcW w:type="dxa" w:w="18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£250–£500</w:t>
            </w:r>
          </w:p>
        </w:tc>
        <w:tc>
          <w:tcPr>
            <w:tcW w:type="dxa" w:w="1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3–5%</w:t>
            </w:r>
          </w:p>
        </w:tc>
        <w:tc>
          <w:tcPr>
            <w:tcW w:type="dxa" w:w="25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Back catalogue views</w:t>
            </w:r>
          </w:p>
        </w:tc>
      </w:tr>
    </w:tbl>
    <w:p>
      <w:r>
        <w:br w:type="page"/>
      </w:r>
    </w:p>
    <w:p>
      <w:pPr>
        <w:pStyle w:val="Heading1"/>
      </w:pPr>
      <w:r>
        <w:t xml:space="preserve">What the Platform Enables</w:t>
      </w:r>
    </w:p>
    <w:p>
      <w:pPr>
        <w:spacing w:after="120"/>
      </w:pPr>
      <w:r>
        <w:rPr>
          <w:rFonts w:ascii="Arial" w:cs="Arial" w:eastAsia="Arial" w:hAnsi="Arial"/>
          <w:color w:val="333333"/>
          <w:sz w:val="22"/>
          <w:szCs w:val="22"/>
        </w:rPr>
        <w:t xml:space="preserve">Silicon and Stone is not just a website — it is a complete intelligence production and distribution system. Here is what it enables:</w:t>
      </w:r>
    </w:p>
    <w:p>
      <w:pPr>
        <w:pStyle w:val="Heading2"/>
      </w:pPr>
      <w:r>
        <w:t xml:space="preserve">For the Analyst/Creator</w:t>
      </w:r>
    </w:p>
    <w:p>
      <w:pPr>
        <w:pStyle w:val="ListParagraph"/>
        <w:numPr>
          <w:ilvl w:val="0"/>
          <w:numId w:val="2"/>
        </w:numPr>
        <w:spacing w:after="60"/>
      </w:pPr>
      <w:r>
        <w:rPr>
          <w:rFonts w:ascii="Arial" w:cs="Arial" w:eastAsia="Arial" w:hAnsi="Arial"/>
          <w:b/>
          <w:bCs/>
          <w:color w:val="333333"/>
          <w:sz w:val="22"/>
          <w:szCs w:val="22"/>
        </w:rPr>
        <w:t xml:space="preserve">Rapid intelligence production</w:t>
      </w:r>
      <w:r>
        <w:rPr>
          <w:rFonts w:ascii="Arial" w:cs="Arial" w:eastAsia="Arial" w:hAnsi="Arial"/>
          <w:color w:val="333333"/>
          <w:sz w:val="22"/>
          <w:szCs w:val="22"/>
        </w:rPr>
        <w:t xml:space="preserve"> — research a topic, synthesise sources, and produce a structured draft article in under 30 minutes</w:t>
      </w:r>
    </w:p>
    <w:p>
      <w:pPr>
        <w:pStyle w:val="ListParagraph"/>
        <w:numPr>
          <w:ilvl w:val="0"/>
          <w:numId w:val="2"/>
        </w:numPr>
        <w:spacing w:after="60"/>
      </w:pPr>
      <w:r>
        <w:rPr>
          <w:rFonts w:ascii="Arial" w:cs="Arial" w:eastAsia="Arial" w:hAnsi="Arial"/>
          <w:b/>
          <w:bCs/>
          <w:color w:val="333333"/>
          <w:sz w:val="22"/>
          <w:szCs w:val="22"/>
        </w:rPr>
        <w:t xml:space="preserve">Consistent voice and positioning</w:t>
      </w:r>
      <w:r>
        <w:rPr>
          <w:rFonts w:ascii="Arial" w:cs="Arial" w:eastAsia="Arial" w:hAnsi="Arial"/>
          <w:color w:val="333333"/>
          <w:sz w:val="22"/>
          <w:szCs w:val="22"/>
        </w:rPr>
        <w:t xml:space="preserve"> — Voice DNA, ICP, and business context profiles ensure all AI-generated content maintains the forensic technopolitics identity</w:t>
      </w:r>
    </w:p>
    <w:p>
      <w:pPr>
        <w:pStyle w:val="ListParagraph"/>
        <w:numPr>
          <w:ilvl w:val="0"/>
          <w:numId w:val="2"/>
        </w:numPr>
        <w:spacing w:after="60"/>
      </w:pPr>
      <w:r>
        <w:rPr>
          <w:rFonts w:ascii="Arial" w:cs="Arial" w:eastAsia="Arial" w:hAnsi="Arial"/>
          <w:b/>
          <w:bCs/>
          <w:color w:val="333333"/>
          <w:sz w:val="22"/>
          <w:szCs w:val="22"/>
        </w:rPr>
        <w:t xml:space="preserve">Multi-channel distribution</w:t>
      </w:r>
      <w:r>
        <w:rPr>
          <w:rFonts w:ascii="Arial" w:cs="Arial" w:eastAsia="Arial" w:hAnsi="Arial"/>
          <w:color w:val="333333"/>
          <w:sz w:val="22"/>
          <w:szCs w:val="22"/>
        </w:rPr>
        <w:t xml:space="preserve"> — content published once flows to the website, newsletter (via Substack + ConvertKit), and can be adapted for YouTube and LinkedIn</w:t>
      </w:r>
    </w:p>
    <w:p>
      <w:pPr>
        <w:pStyle w:val="ListParagraph"/>
        <w:numPr>
          <w:ilvl w:val="0"/>
          <w:numId w:val="2"/>
        </w:numPr>
        <w:spacing w:after="120"/>
      </w:pPr>
      <w:r>
        <w:rPr>
          <w:rFonts w:ascii="Arial" w:cs="Arial" w:eastAsia="Arial" w:hAnsi="Arial"/>
          <w:b/>
          <w:bCs/>
          <w:color w:val="333333"/>
          <w:sz w:val="22"/>
          <w:szCs w:val="22"/>
        </w:rPr>
        <w:t xml:space="preserve">Scalable product sales</w:t>
      </w:r>
      <w:r>
        <w:rPr>
          <w:rFonts w:ascii="Arial" w:cs="Arial" w:eastAsia="Arial" w:hAnsi="Arial"/>
          <w:color w:val="333333"/>
          <w:sz w:val="22"/>
          <w:szCs w:val="22"/>
        </w:rPr>
        <w:t xml:space="preserve"> — digital products sell passively through the content ecosystem without requiring time per sale</w:t>
      </w:r>
    </w:p>
    <w:p>
      <w:pPr>
        <w:pStyle w:val="Heading2"/>
      </w:pPr>
      <w:r>
        <w:t xml:space="preserve">For the Audience</w:t>
      </w:r>
    </w:p>
    <w:p>
      <w:pPr>
        <w:pStyle w:val="ListParagraph"/>
        <w:numPr>
          <w:ilvl w:val="0"/>
          <w:numId w:val="2"/>
        </w:numPr>
        <w:spacing w:after="60"/>
      </w:pPr>
      <w:r>
        <w:rPr>
          <w:rFonts w:ascii="Arial" w:cs="Arial" w:eastAsia="Arial" w:hAnsi="Arial"/>
          <w:b/>
          <w:bCs/>
          <w:color w:val="333333"/>
          <w:sz w:val="22"/>
          <w:szCs w:val="22"/>
        </w:rPr>
        <w:t xml:space="preserve">Persona-filtered intelligence</w:t>
      </w:r>
      <w:r>
        <w:rPr>
          <w:rFonts w:ascii="Arial" w:cs="Arial" w:eastAsia="Arial" w:hAnsi="Arial"/>
          <w:color w:val="333333"/>
          <w:sz w:val="22"/>
          <w:szCs w:val="22"/>
        </w:rPr>
        <w:t xml:space="preserve"> — decision-makers see analysis relevant to their specific role and concerns</w:t>
      </w:r>
    </w:p>
    <w:p>
      <w:pPr>
        <w:pStyle w:val="ListParagraph"/>
        <w:numPr>
          <w:ilvl w:val="0"/>
          <w:numId w:val="2"/>
        </w:numPr>
        <w:spacing w:after="60"/>
      </w:pPr>
      <w:r>
        <w:rPr>
          <w:rFonts w:ascii="Arial" w:cs="Arial" w:eastAsia="Arial" w:hAnsi="Arial"/>
          <w:b/>
          <w:bCs/>
          <w:color w:val="333333"/>
          <w:sz w:val="22"/>
          <w:szCs w:val="22"/>
        </w:rPr>
        <w:t xml:space="preserve">Tiered depth</w:t>
      </w:r>
      <w:r>
        <w:rPr>
          <w:rFonts w:ascii="Arial" w:cs="Arial" w:eastAsia="Arial" w:hAnsi="Arial"/>
          <w:color w:val="333333"/>
          <w:sz w:val="22"/>
          <w:szCs w:val="22"/>
        </w:rPr>
        <w:t xml:space="preserve"> — scan the Pulse in 30 seconds, or go deep with a full Audit. The reader chooses the level of engagement.</w:t>
      </w:r>
    </w:p>
    <w:p>
      <w:pPr>
        <w:pStyle w:val="ListParagraph"/>
        <w:numPr>
          <w:ilvl w:val="0"/>
          <w:numId w:val="2"/>
        </w:numPr>
        <w:spacing w:after="60"/>
      </w:pPr>
      <w:r>
        <w:rPr>
          <w:rFonts w:ascii="Arial" w:cs="Arial" w:eastAsia="Arial" w:hAnsi="Arial"/>
          <w:b/>
          <w:bCs/>
          <w:color w:val="333333"/>
          <w:sz w:val="22"/>
          <w:szCs w:val="22"/>
        </w:rPr>
        <w:t xml:space="preserve">Interactive self-service</w:t>
      </w:r>
      <w:r>
        <w:rPr>
          <w:rFonts w:ascii="Arial" w:cs="Arial" w:eastAsia="Arial" w:hAnsi="Arial"/>
          <w:color w:val="333333"/>
          <w:sz w:val="22"/>
          <w:szCs w:val="22"/>
        </w:rPr>
        <w:t xml:space="preserve"> — four analytical tools provide immediate insight without requiring a consulting engagement</w:t>
      </w:r>
    </w:p>
    <w:p>
      <w:pPr>
        <w:pStyle w:val="ListParagraph"/>
        <w:numPr>
          <w:ilvl w:val="0"/>
          <w:numId w:val="2"/>
        </w:numPr>
        <w:spacing w:after="120"/>
      </w:pPr>
      <w:r>
        <w:rPr>
          <w:rFonts w:ascii="Arial" w:cs="Arial" w:eastAsia="Arial" w:hAnsi="Arial"/>
          <w:b/>
          <w:bCs/>
          <w:color w:val="333333"/>
          <w:sz w:val="22"/>
          <w:szCs w:val="22"/>
        </w:rPr>
        <w:t xml:space="preserve">Clear upgrade path</w:t>
      </w:r>
      <w:r>
        <w:rPr>
          <w:rFonts w:ascii="Arial" w:cs="Arial" w:eastAsia="Arial" w:hAnsi="Arial"/>
          <w:color w:val="333333"/>
          <w:sz w:val="22"/>
          <w:szCs w:val="22"/>
        </w:rPr>
        <w:t xml:space="preserve"> — from free analysis → newsletter → digital products → advisory services, each step feels natural and proportionate</w:t>
      </w:r>
    </w:p>
    <w:p>
      <w:r>
        <w:br w:type="page"/>
      </w:r>
    </w:p>
    <w:p>
      <w:pPr>
        <w:pStyle w:val="Heading1"/>
      </w:pPr>
      <w:r>
        <w:t xml:space="preserve">Current Status &amp; Next Steps</w:t>
      </w:r>
    </w:p>
    <w:p>
      <w:pPr>
        <w:pStyle w:val="Heading2"/>
      </w:pPr>
      <w:r>
        <w:t xml:space="preserve">Platform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Component</w:t>
            </w:r>
          </w:p>
        </w:tc>
        <w:tc>
          <w:tcPr>
            <w:tcW w:type="dxa" w:w="240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Status</w:t>
            </w:r>
          </w:p>
        </w:tc>
        <w:tc>
          <w:tcPr>
            <w:tcW w:type="dxa" w:w="2960"/>
            <w:tcBorders>
              <w:top w:val="single" w:color="D1D5DB" w:sz="1"/>
              <w:left w:val="single" w:color="D1D5DB" w:sz="1"/>
              <w:bottom w:val="single" w:color="D1D5DB" w:sz="1"/>
              <w:right w:val="single" w:color="D1D5DB" w:sz="1"/>
            </w:tcBorders>
            <w:shd w:fill="1A1F2E" w:val="clear"/>
            <w:vAlign w:val="center"/>
          </w:tcPr>
          <w:p>
            <w:pPr>
              <w:spacing w:after="60" w:before="60"/>
            </w:pPr>
            <w:r>
              <w:rPr>
                <w:rFonts w:ascii="Arial" w:cs="Arial" w:eastAsia="Arial" w:hAnsi="Arial"/>
                <w:b/>
                <w:bCs/>
                <w:color w:val="FFFFFF"/>
                <w:sz w:val="20"/>
                <w:szCs w:val="20"/>
              </w:rPr>
              <w:t xml:space="preserve">Notes</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Public website (38 pages)</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Complete</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All pages built and tested</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Research pipeline</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Working</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Inoreader + Exa + Claude verified</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Admin dashboard</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Working</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All admin routes functional</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Sanity CMS</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Working</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Schema, queries, embedded studio</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ConvertKit integration</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Complete</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Subscribe + contact forms wired</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Product sales pages</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Complete</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Needs payment platform links</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Legal pages</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166534"/>
                <w:sz w:val="20"/>
                <w:szCs w:val="20"/>
              </w:rPr>
              <w:t xml:space="preserve">Complete</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Privacy (GDPR) + Terms</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Production deployment</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6B7280"/>
                <w:sz w:val="20"/>
                <w:szCs w:val="20"/>
              </w:rPr>
              <w:t xml:space="preserve">Pending</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Vercel deployment planned</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Analytics</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6B7280"/>
                <w:sz w:val="20"/>
                <w:szCs w:val="20"/>
              </w:rPr>
              <w:t xml:space="preserve">Pending</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Plausible or Fathom planned</w:t>
            </w:r>
          </w:p>
        </w:tc>
      </w:tr>
      <w:tr>
        <w:tc>
          <w:tcPr>
            <w:tcW w:type="dxa" w:w="400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Digital product PDFs</w:t>
            </w:r>
          </w:p>
        </w:tc>
        <w:tc>
          <w:tcPr>
            <w:tcW w:type="dxa" w:w="2400"/>
            <w:tcBorders>
              <w:top w:val="single" w:color="D1D5DB" w:sz="1"/>
              <w:left w:val="single" w:color="D1D5DB" w:sz="1"/>
              <w:bottom w:val="single" w:color="D1D5DB" w:sz="1"/>
              <w:right w:val="single" w:color="D1D5DB" w:sz="1"/>
            </w:tcBorders>
          </w:tcPr>
          <w:p>
            <w:pPr>
              <w:spacing w:after="40" w:before="40"/>
            </w:pPr>
            <w:r>
              <w:rPr>
                <w:rFonts w:ascii="Arial" w:cs="Arial" w:eastAsia="Arial" w:hAnsi="Arial"/>
                <w:b/>
                <w:bCs/>
                <w:color w:val="6B7280"/>
                <w:sz w:val="20"/>
                <w:szCs w:val="20"/>
              </w:rPr>
              <w:t xml:space="preserve">Pending</w:t>
            </w:r>
          </w:p>
        </w:tc>
        <w:tc>
          <w:tcPr>
            <w:tcW w:type="dxa" w:w="2960"/>
            <w:tcBorders>
              <w:top w:val="single" w:color="D1D5DB" w:sz="1"/>
              <w:left w:val="single" w:color="D1D5DB" w:sz="1"/>
              <w:bottom w:val="single" w:color="D1D5DB" w:sz="1"/>
              <w:right w:val="single" w:color="D1D5DB" w:sz="1"/>
            </w:tcBorders>
          </w:tcPr>
          <w:p>
            <w:pPr>
              <w:spacing w:after="40" w:before="40"/>
            </w:pPr>
            <w:r>
              <w:rPr>
                <w:rFonts w:ascii="Arial" w:cs="Arial" w:eastAsia="Arial" w:hAnsi="Arial"/>
                <w:color w:val="333333"/>
                <w:sz w:val="20"/>
                <w:szCs w:val="20"/>
              </w:rPr>
              <w:t xml:space="preserve">Content creation (2–3 weeks)</w:t>
            </w:r>
          </w:p>
        </w:tc>
      </w:tr>
    </w:tbl>
    <w:p>
      <w:pPr>
        <w:pStyle w:val="Heading2"/>
      </w:pPr>
      <w:r>
        <w:t xml:space="preserve">Immediate Next Steps</w:t>
      </w:r>
    </w:p>
    <w:p>
      <w:pPr>
        <w:pStyle w:val="ListParagraph"/>
        <w:numPr>
          <w:ilvl w:val="0"/>
          <w:numId w:val="3"/>
        </w:numPr>
        <w:spacing w:after="60"/>
      </w:pPr>
      <w:r>
        <w:rPr>
          <w:rFonts w:ascii="Arial" w:cs="Arial" w:eastAsia="Arial" w:hAnsi="Arial"/>
          <w:color w:val="333333"/>
          <w:sz w:val="22"/>
          <w:szCs w:val="22"/>
        </w:rPr>
        <w:t xml:space="preserve">Deploy to Vercel with custom domain and production environment variables</w:t>
      </w:r>
    </w:p>
    <w:p>
      <w:pPr>
        <w:pStyle w:val="ListParagraph"/>
        <w:numPr>
          <w:ilvl w:val="0"/>
          <w:numId w:val="3"/>
        </w:numPr>
        <w:spacing w:after="60"/>
      </w:pPr>
      <w:r>
        <w:rPr>
          <w:rFonts w:ascii="Arial" w:cs="Arial" w:eastAsia="Arial" w:hAnsi="Arial"/>
          <w:color w:val="333333"/>
          <w:sz w:val="22"/>
          <w:szCs w:val="22"/>
        </w:rPr>
        <w:t xml:space="preserve">Connect payment platform (Payhip) to product page buy buttons</w:t>
      </w:r>
    </w:p>
    <w:p>
      <w:pPr>
        <w:pStyle w:val="ListParagraph"/>
        <w:numPr>
          <w:ilvl w:val="0"/>
          <w:numId w:val="3"/>
        </w:numPr>
        <w:spacing w:after="60"/>
      </w:pPr>
      <w:r>
        <w:rPr>
          <w:rFonts w:ascii="Arial" w:cs="Arial" w:eastAsia="Arial" w:hAnsi="Arial"/>
          <w:color w:val="333333"/>
          <w:sz w:val="22"/>
          <w:szCs w:val="22"/>
        </w:rPr>
        <w:t xml:space="preserve">Create the AI Act Compliance Toolkit PDF and spreadsheets (flagship product)</w:t>
      </w:r>
    </w:p>
    <w:p>
      <w:pPr>
        <w:pStyle w:val="ListParagraph"/>
        <w:numPr>
          <w:ilvl w:val="0"/>
          <w:numId w:val="3"/>
        </w:numPr>
        <w:spacing w:after="60"/>
      </w:pPr>
      <w:r>
        <w:rPr>
          <w:rFonts w:ascii="Arial" w:cs="Arial" w:eastAsia="Arial" w:hAnsi="Arial"/>
          <w:color w:val="333333"/>
          <w:sz w:val="22"/>
          <w:szCs w:val="22"/>
        </w:rPr>
        <w:t xml:space="preserve">Add privacy-friendly analytics (Plausible or Fathom)</w:t>
      </w:r>
    </w:p>
    <w:p>
      <w:pPr>
        <w:pStyle w:val="ListParagraph"/>
        <w:numPr>
          <w:ilvl w:val="0"/>
          <w:numId w:val="3"/>
        </w:numPr>
        <w:spacing w:after="60"/>
      </w:pPr>
      <w:r>
        <w:rPr>
          <w:rFonts w:ascii="Arial" w:cs="Arial" w:eastAsia="Arial" w:hAnsi="Arial"/>
          <w:color w:val="333333"/>
          <w:sz w:val="22"/>
          <w:szCs w:val="22"/>
        </w:rPr>
        <w:t xml:space="preserve">Launch Substack newsletter and configure ConvertKit sync</w:t>
      </w:r>
    </w:p>
    <w:p>
      <w:pPr>
        <w:pStyle w:val="ListParagraph"/>
        <w:numPr>
          <w:ilvl w:val="0"/>
          <w:numId w:val="3"/>
        </w:numPr>
        <w:spacing w:after="60"/>
      </w:pPr>
      <w:r>
        <w:rPr>
          <w:rFonts w:ascii="Arial" w:cs="Arial" w:eastAsia="Arial" w:hAnsi="Arial"/>
          <w:color w:val="333333"/>
          <w:sz w:val="22"/>
          <w:szCs w:val="22"/>
        </w:rPr>
        <w:t xml:space="preserve">Publish initial content batch targeting AI Act keywords ahead of August 2026 deadline</w:t>
      </w:r>
    </w:p>
    <w:p>
      <w:pPr>
        <w:pStyle w:val="ListParagraph"/>
        <w:numPr>
          <w:ilvl w:val="0"/>
          <w:numId w:val="3"/>
        </w:numPr>
        <w:spacing w:after="120"/>
      </w:pPr>
      <w:r>
        <w:rPr>
          <w:rFonts w:ascii="Arial" w:cs="Arial" w:eastAsia="Arial" w:hAnsi="Arial"/>
          <w:color w:val="333333"/>
          <w:sz w:val="22"/>
          <w:szCs w:val="22"/>
        </w:rPr>
        <w:t xml:space="preserve">Begin YouTube channel with first-month content calendar (origin story, practical AI, geopolitical analysis)</w:t>
      </w:r>
    </w:p>
    <w:p>
      <w:pPr>
        <w:spacing w:before="400"/>
      </w:pPr>
    </w:p>
    <w:p>
      <w:pPr>
        <w:spacing w:after="200"/>
      </w:pPr>
      <w:r>
        <w:rPr>
          <w:rFonts w:ascii="Georgia" w:cs="Georgia" w:eastAsia="Georgia" w:hAnsi="Georgia"/>
          <w:b/>
          <w:bCs/>
          <w:color w:val="1A1F2E"/>
          <w:sz w:val="24"/>
          <w:szCs w:val="24"/>
        </w:rPr>
        <w:t xml:space="preserve">Silicon and Stone</w:t>
      </w:r>
      <w:r>
        <w:rPr>
          <w:rFonts w:ascii="Georgia" w:cs="Georgia" w:eastAsia="Georgia" w:hAnsi="Georgia"/>
          <w:i/>
          <w:iCs/>
          <w:color w:val="6B7280"/>
          <w:sz w:val="24"/>
          <w:szCs w:val="24"/>
        </w:rPr>
        <w:t xml:space="preserve"> — The Long View from the Edge</w:t>
      </w:r>
    </w:p>
    <w:p>
      <w:pPr>
        <w:spacing w:after="120"/>
      </w:pPr>
      <w:r>
        <w:rPr>
          <w:rFonts w:ascii="Arial" w:cs="Arial" w:eastAsia="Arial" w:hAnsi="Arial"/>
          <w:color w:val="333333"/>
          <w:sz w:val="22"/>
          <w:szCs w:val="22"/>
        </w:rPr>
        <w:t xml:space="preserve">hello@siliconandstone.com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Silicon and Stone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Georgia" w:cs="Georgia" w:eastAsia="Georgia" w:hAnsi="Georgia"/>
      <w:b/>
      <w:bCs/>
      <w:color w:val="1A1F2E"/>
      <w:sz w:val="56"/>
      <w:szCs w:val="56"/>
    </w:rPr>
  </w:style>
  <w:style w:type="paragraph" w:styleId="Heading1">
    <w:name w:val="Heading 1"/>
    <w:basedOn w:val="Normal"/>
    <w:next w:val="Normal"/>
    <w:qFormat/>
    <w:pPr>
      <w:spacing w:after="160" w:before="360"/>
      <w:outlineLvl w:val="0"/>
    </w:pPr>
    <w:rPr>
      <w:rFonts w:ascii="Georgia" w:cs="Georgia" w:eastAsia="Georgia" w:hAnsi="Georgia"/>
      <w:b/>
      <w:bCs/>
      <w:color w:val="1A1F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D4952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2026-03-30T17:53:16.678Z</dcterms:created>
  <dcterms:modified xsi:type="dcterms:W3CDTF">2026-03-30T17:53:16.679Z</dcterms:modified>
</cp:coreProperties>
</file>

<file path=docProps/custom.xml><?xml version="1.0" encoding="utf-8"?>
<Properties xmlns="http://schemas.openxmlformats.org/officeDocument/2006/custom-properties" xmlns:vt="http://schemas.openxmlformats.org/officeDocument/2006/docPropsVTypes"/>
</file>