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 xml:space="preserve">SILICON AND STONE · PARTNER REVIEW NOTE</w:t>
      </w:r>
    </w:p>
    <w:p>
      <w:pPr>
        <w:pStyle w:val="Title"/>
        <w:keepNext/>
      </w:pPr>
      <w:r>
        <w:t xml:space="preserve">Homepage Positioning Options</w:t>
      </w:r>
    </w:p>
    <w:p>
      <w:pPr>
        <w:pStyle w:val="Subtitle"/>
      </w:pPr>
      <w:r>
        <w:t xml:space="preserve">Two routes for the homepage headline and opening copy</w:t>
      </w:r>
    </w:p>
    <w:p>
      <w:pPr>
        <w:pStyle w:val="Meta"/>
      </w:pPr>
      <w:r>
        <w:t xml:space="preserve">Prepared for discussion · 1 June 2026</w:t>
      </w:r>
    </w:p>
    <w:p>
      <w:pPr>
        <w:pStyle w:val="Compact"/>
      </w:pPr>
      <w:r>
        <w:t xml:space="preserv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8900"/>
      </w:tblGrid>
      <w:tr>
        <w:tc>
          <w:tcPr>
            <w:tcW w:w="8900" w:type="dxa"/>
            <w:shd w:fill="F6F2EA"/>
            <w:tcBorders>
              <w:left w:val="single" w:sz="18" w:space="0" w:color="C7781A"/>
              <w:top w:val="nil"/>
              <w:bottom w:val="nil"/>
              <w:right w:val="nil"/>
            </w:tcBorders>
          </w:tcPr>
          <w:p>
            <w:pPr>
              <w:pStyle w:val="Callout"/>
            </w:pPr>
            <w:r>
              <w:rPr>
                <w:b/>
              </w:rPr>
              <w:t xml:space="preserve">Decision required. </w:t>
            </w:r>
            <w:r>
              <w:t xml:space="preserve">Choose the positioning route that best earns attention from policy professionals, industrial leaders, and informed generalists while establishing Silicon and Stone as a useful recurring read.</w:t>
            </w:r>
          </w:p>
          <w:p>
            <w:pPr>
              <w:pStyle w:val="Callout"/>
            </w:pPr>
            <w:r>
              <w:t xml:space="preserve">Both routes balance organisational risk with the individual promise of earlier understanding, practical AI fluency, and career resilience.</w:t>
            </w:r>
          </w:p>
        </w:tc>
      </w:tr>
    </w:tbl>
    <w:p>
      <w:pPr>
        <w:pStyle w:val="Heading1"/>
        <w:keepNext/>
      </w:pPr>
      <w:r>
        <w:t xml:space="preserve">Shared business description</w:t>
      </w:r>
    </w:p>
    <w:p>
      <w:pPr>
        <w:pStyle w:val="Normal"/>
      </w:pPr>
      <w:r>
        <w:t xml:space="preserve">Silicon and Stone is an independent strategic-intelligence service that helps professionals understand how AI, regulation, semiconductor dependencies, and geopolitics are interacting — so they can anticipate operating constraints, make better decisions, and build career resilience as their industries change.</w:t>
      </w:r>
    </w:p>
    <w:p>
      <w:pPr>
        <w:pStyle w:val="Heading1"/>
        <w:keepNext/>
        <w:pBdr>
          <w:top w:val="single" w:sz="4" w:space="1" w:color="D7D0C5"/>
        </w:pBdr>
      </w:pPr>
      <w:r>
        <w:t xml:space="preserve">Option 1 — Constraint-led</w:t>
      </w:r>
    </w:p>
    <w:p>
      <w:pPr>
        <w:pStyle w:val="Headline"/>
        <w:keepNext/>
      </w:pPr>
      <w:r>
        <w:t xml:space="preserve">See the structural shift before it becomes the constraint.</w:t>
      </w:r>
    </w:p>
    <w:p>
      <w:pPr>
        <w:pStyle w:val="Label"/>
        <w:keepNext/>
      </w:pPr>
      <w:r>
        <w:t xml:space="preserve">SUBHEAD</w:t>
      </w:r>
    </w:p>
    <w:p>
      <w:pPr>
        <w:pStyle w:val="Normal"/>
      </w:pPr>
      <w:r>
        <w:t xml:space="preserve">Independent, decision-grade intelligence on the technology power shift — for professionals building resilient organisations and resilient careers.</w:t>
      </w:r>
    </w:p>
    <w:p>
      <w:pPr>
        <w:pStyle w:val="Label"/>
        <w:keepNext/>
      </w:pPr>
      <w:r>
        <w:t xml:space="preserve">OPENING PARAGRAPH</w:t>
      </w:r>
    </w:p>
    <w:p>
      <w:pPr>
        <w:pStyle w:val="Normal"/>
      </w:pPr>
      <w:r>
        <w:t xml:space="preserve">Most coverage handles AI, regulation, supply chains, and geopolitics as separate stories. Silicon and Stone traces how they interact — so readers can identify operating risk earlier, build practical AI fluency, and remain valuable as the decision layer changes.</w:t>
      </w:r>
    </w:p>
    <w:p>
      <w:pPr>
        <w:pStyle w:val="Label"/>
        <w:keepNext/>
      </w:pPr>
      <w:r>
        <w:t xml:space="preserve">CREDENTIAL LINE</w:t>
      </w:r>
    </w:p>
    <w:p>
      <w:pPr>
        <w:pStyle w:val="Normal"/>
      </w:pPr>
      <w:r>
        <w:t xml:space="preserve">Built on thirty years inside the technology industry. Published twice a week from the edge of Europe.</w:t>
      </w:r>
    </w:p>
    <w:p>
      <w:pPr>
        <w:pStyle w:val="Label"/>
        <w:keepNext/>
      </w:pPr>
      <w:r>
        <w:t xml:space="preserve">CALLS TO ACTION</w:t>
      </w:r>
    </w:p>
    <w:p>
      <w:pPr>
        <w:pStyle w:val="Normal"/>
      </w:pPr>
      <w:r>
        <w:rPr>
          <w:b/>
        </w:rPr>
        <w:t xml:space="preserve">Primary: </w:t>
      </w:r>
      <w:r>
        <w:t xml:space="preserve">Get the Atlantic Drift Briefing</w:t>
      </w:r>
      <w:r>
        <w:br/>
      </w:r>
      <w:r>
        <w:rPr>
          <w:b/>
        </w:rPr>
        <w:t xml:space="preserve">Secondary: </w:t>
      </w:r>
      <w:r>
        <w:t xml:space="preserve">Read the methodology</w:t>
      </w:r>
    </w:p>
    <w:p>
      <w:pPr>
        <w:pStyle w:val="Note"/>
      </w:pPr>
      <w:r>
        <w:rPr>
          <w:b/>
        </w:rPr>
        <w:t xml:space="preserve">Character: </w:t>
      </w:r>
      <w:r>
        <w:t xml:space="preserve">clearer and more literal. It leads with operating risk and will feel immediately legible to policy and industrial audiences.</w:t>
      </w:r>
    </w:p>
    <w:p>
      <w:pPr>
        <w:pStyle w:val="Heading1"/>
        <w:keepNext/>
        <w:pageBreakBefore/>
        <w:pBdr>
          <w:top w:val="single" w:sz="4" w:space="1" w:color="D7D0C5"/>
        </w:pBdr>
      </w:pPr>
      <w:r>
        <w:t xml:space="preserve">Option 2 — Preparedness-led</w:t>
      </w:r>
    </w:p>
    <w:p>
      <w:pPr>
        <w:pStyle w:val="Headline"/>
        <w:keepNext/>
      </w:pPr>
      <w:r>
        <w:t xml:space="preserve">Read the shift before it sets the terms.</w:t>
      </w:r>
    </w:p>
    <w:p>
      <w:pPr>
        <w:pStyle w:val="Label"/>
        <w:keepNext/>
      </w:pPr>
      <w:r>
        <w:t xml:space="preserve">SUBHEAD</w:t>
      </w:r>
    </w:p>
    <w:p>
      <w:pPr>
        <w:pStyle w:val="Normal"/>
      </w:pPr>
      <w:r>
        <w:t xml:space="preserve">Independent, decision-grade intelligence for professionals navigating how AI, policy, and industrial dependencies are changing the operating rules.</w:t>
      </w:r>
    </w:p>
    <w:p>
      <w:pPr>
        <w:pStyle w:val="Label"/>
        <w:keepNext/>
      </w:pPr>
      <w:r>
        <w:t xml:space="preserve">OPENING PARAGRAPH</w:t>
      </w:r>
    </w:p>
    <w:p>
      <w:pPr>
        <w:pStyle w:val="Normal"/>
      </w:pPr>
      <w:r>
        <w:t xml:space="preserve">The advantage is not predicting every turn. It is recognising structural change early enough to prepare for it. Silicon and Stone connects technology, regulation, supply chains, and geopolitics — helping readers make clearer decisions, develop practical AI fluency, and build career resilience as their industries change.</w:t>
      </w:r>
    </w:p>
    <w:p>
      <w:pPr>
        <w:pStyle w:val="Label"/>
        <w:keepNext/>
      </w:pPr>
      <w:r>
        <w:t xml:space="preserve">CREDENTIAL LINE</w:t>
      </w:r>
    </w:p>
    <w:p>
      <w:pPr>
        <w:pStyle w:val="Normal"/>
      </w:pPr>
      <w:r>
        <w:t xml:space="preserve">Built on thirty years inside the technology industry. Published twice a week from the edge of Europe.</w:t>
      </w:r>
    </w:p>
    <w:p>
      <w:pPr>
        <w:pStyle w:val="Label"/>
        <w:keepNext/>
      </w:pPr>
      <w:r>
        <w:t xml:space="preserve">CALLS TO ACTION</w:t>
      </w:r>
    </w:p>
    <w:p>
      <w:pPr>
        <w:pStyle w:val="Normal"/>
      </w:pPr>
      <w:r>
        <w:rPr>
          <w:b/>
        </w:rPr>
        <w:t xml:space="preserve">Primary: </w:t>
      </w:r>
      <w:r>
        <w:t xml:space="preserve">Get the Atlantic Drift Briefing</w:t>
      </w:r>
      <w:r>
        <w:br/>
      </w:r>
      <w:r>
        <w:rPr>
          <w:b/>
        </w:rPr>
        <w:t xml:space="preserve">Secondary: </w:t>
      </w:r>
      <w:r>
        <w:t xml:space="preserve">Read the methodology</w:t>
      </w:r>
    </w:p>
    <w:p>
      <w:pPr>
        <w:pStyle w:val="Note"/>
      </w:pPr>
      <w:r>
        <w:rPr>
          <w:b/>
        </w:rPr>
        <w:t xml:space="preserve">Character: </w:t>
      </w:r>
      <w:r>
        <w:t xml:space="preserve">more editorial and distinctive. It frames Silicon and Stone as an early-reading intelligence service, with a natural fit for the newsletter and other channels.</w:t>
      </w:r>
    </w:p>
    <w:p>
      <w:pPr>
        <w:pStyle w:val="Heading1"/>
        <w:keepNext/>
        <w:pageBreakBefore/>
      </w:pPr>
      <w:r>
        <w:t xml:space="preserve">Comparison</w:t>
      </w:r>
    </w:p>
    <w:tbl>
      <w:tblPr>
        <w:tblW w:w="0" w:type="auto"/>
        <w:tblBorders>
          <w:top w:val="single" w:sz="4" w:space="0" w:color="D7D0C5"/>
          <w:left w:val="single" w:sz="4" w:space="0" w:color="D7D0C5"/>
          <w:bottom w:val="single" w:sz="4" w:space="0" w:color="D7D0C5"/>
          <w:right w:val="single" w:sz="4" w:space="0" w:color="D7D0C5"/>
          <w:insideH w:val="single" w:sz="4" w:space="0" w:color="D7D0C5"/>
          <w:insideV w:val="single" w:sz="4" w:space="0" w:color="D7D0C5"/>
        </w:tblBorders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1900"/>
        <w:gridCol w:w="3500"/>
        <w:gridCol w:w="3500"/>
      </w:tblGrid>
      <w:tr>
        <w:tc>
          <w:tcPr>
            <w:tcW w:w="1900" w:type="dxa"/>
            <w:shd w:fill="1A1F2E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3500" w:type="dxa"/>
            <w:shd w:fill="1A1F2E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Option 1 — Constraint-led</w:t>
            </w:r>
          </w:p>
        </w:tc>
        <w:tc>
          <w:tcPr>
            <w:tcW w:w="3500" w:type="dxa"/>
            <w:shd w:fill="1A1F2E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Option 2 — Preparedness-led</w:t>
            </w:r>
          </w:p>
        </w:tc>
      </w:tr>
      <w:tr>
        <w:tc>
          <w:tcPr>
            <w:tcW w:w="1900" w:type="dxa"/>
          </w:tcPr>
          <w:p>
            <w:pPr>
              <w:pStyle w:val="TableBody"/>
            </w:pPr>
            <w:r>
              <w:rPr>
                <w:b/>
              </w:rPr>
              <w:t xml:space="preserve">Primary hook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See risk before it hardens into an operating constraint.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See structural change early enough to prepare for it.</w:t>
            </w:r>
          </w:p>
        </w:tc>
      </w:tr>
      <w:tr>
        <w:tc>
          <w:tcPr>
            <w:tcW w:w="1900" w:type="dxa"/>
          </w:tcPr>
          <w:p>
            <w:pPr>
              <w:pStyle w:val="TableBody"/>
            </w:pPr>
            <w:r>
              <w:rPr>
                <w:b/>
              </w:rPr>
              <w:t xml:space="preserve">Tone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Direct, operational, explicit.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Editorial, assured, slightly more distinctive.</w:t>
            </w:r>
          </w:p>
        </w:tc>
      </w:tr>
      <w:tr>
        <w:tc>
          <w:tcPr>
            <w:tcW w:w="1900" w:type="dxa"/>
          </w:tcPr>
          <w:p>
            <w:pPr>
              <w:pStyle w:val="TableBody"/>
            </w:pPr>
            <w:r>
              <w:rPr>
                <w:b/>
              </w:rPr>
              <w:t xml:space="preserve">Career dimension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Explicit in the subhead and opening paragraph.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Integrated into the preparedness argument.</w:t>
            </w:r>
          </w:p>
        </w:tc>
      </w:tr>
      <w:tr>
        <w:tc>
          <w:tcPr>
            <w:tcW w:w="1900" w:type="dxa"/>
          </w:tcPr>
          <w:p>
            <w:pPr>
              <w:pStyle w:val="TableBody"/>
            </w:pPr>
            <w:r>
              <w:rPr>
                <w:b/>
              </w:rPr>
              <w:t xml:space="preserve">Likely strength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Immediate clarity for industrial and policy readers.</w:t>
            </w:r>
          </w:p>
        </w:tc>
        <w:tc>
          <w:tcPr>
            <w:tcW w:w="3500" w:type="dxa"/>
          </w:tcPr>
          <w:p>
            <w:pPr>
              <w:pStyle w:val="TableBody"/>
            </w:pPr>
            <w:r>
              <w:t xml:space="preserve">Stronger recurring proposition for newsletter and social channels.</w:t>
            </w:r>
          </w:p>
        </w:tc>
      </w:tr>
    </w:tbl>
    <w:p>
      <w:pPr>
        <w:pStyle w:val="Heading1"/>
        <w:keepNext/>
      </w:pPr>
      <w:r>
        <w:t xml:space="preserve">Questions for review</w:t>
      </w:r>
    </w:p>
    <w:p>
      <w:pPr>
        <w:pStyle w:val="Normal"/>
        <w:numPr>
          <w:ilvl w:val="0"/>
          <w:numId w:val="1"/>
        </w:numPr>
      </w:pPr>
      <w:r>
        <w:t xml:space="preserve">Which headline earns attention most effectively without sounding promotional?</w:t>
      </w:r>
    </w:p>
    <w:p>
      <w:pPr>
        <w:pStyle w:val="Normal"/>
        <w:numPr>
          <w:ilvl w:val="0"/>
          <w:numId w:val="1"/>
        </w:numPr>
      </w:pPr>
      <w:r>
        <w:t xml:space="preserve">Which route feels closest to the voice Silicon and Stone should own?</w:t>
      </w:r>
    </w:p>
    <w:p>
      <w:pPr>
        <w:pStyle w:val="Normal"/>
        <w:numPr>
          <w:ilvl w:val="0"/>
          <w:numId w:val="1"/>
        </w:numPr>
      </w:pPr>
      <w:r>
        <w:t xml:space="preserve">Does the career-resilience dimension feel appropriately weighted?</w:t>
      </w:r>
    </w:p>
    <w:p>
      <w:pPr>
        <w:pStyle w:val="Normal"/>
        <w:numPr>
          <w:ilvl w:val="0"/>
          <w:numId w:val="1"/>
        </w:numPr>
      </w:pPr>
      <w:r>
        <w:t xml:space="preserve">Is any phrase too abstract, too strong, or insufficiently clear?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8900"/>
      </w:tblGrid>
      <w:tr>
        <w:tc>
          <w:tcPr>
            <w:tcW w:w="8900" w:type="dxa"/>
            <w:shd w:fill="F6F2EA"/>
            <w:tcBorders>
              <w:left w:val="single" w:sz="18" w:space="0" w:color="C7781A"/>
              <w:top w:val="nil"/>
              <w:bottom w:val="nil"/>
              <w:right w:val="nil"/>
            </w:tcBorders>
          </w:tcPr>
          <w:p>
            <w:pPr>
              <w:pStyle w:val="Callout"/>
            </w:pPr>
            <w:r>
              <w:rPr>
                <w:b/>
              </w:rPr>
              <w:t xml:space="preserve">Working preference: </w:t>
            </w:r>
            <w:r>
              <w:t xml:space="preserve">Option 2, because it positions the publication as a source of early strategic understanding rather than simply a warning service. The decision remains open.</w:t>
            </w:r>
          </w:p>
        </w:tc>
      </w:tr>
    </w:tbl>
    <w:sectPr>
      <w:headerReference w:type="default" r:id="rId3"/>
      <w:footerReference w:type="default" r:id="rId4"/>
      <w:pgSz w:w="11906" w:h="16838"/>
      <w:pgMar w:top="1050" w:right="1050" w:bottom="1050" w:left="1050" w:header="500" w:footer="500" w:gutter="0"/>
      <w:cols w:space="72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7D0C5"/>
      </w:pBdr>
      <w:spacing w:before="40" w:after="0"/>
    </w:pPr>
    <w:r>
      <w:rPr>
        <w:color w:val="68707A"/>
        <w:sz w:val="16"/>
        <w:szCs w:val="16"/>
      </w:rPr>
      <w:t xml:space="preserve">Silicon and Stone  ·  Partner review note  ·  1 June 2026</w:t>
    </w:r>
  </w:p>
</w:ftr>
</file>

<file path=word/header1.xml><?xml version="1.0" encoding="utf-8"?>
<w:hdr xmlns:w="http://schemas.openxmlformats.org/wordprocessingml/2006/main">
  <w:p>
    <w:pPr>
      <w:pBdr>
        <w:bottom w:val="single" w:sz="4" w:space="1" w:color="D7D0C5"/>
      </w:pBdr>
      <w:spacing w:after="0"/>
    </w:pPr>
    <w:r>
      <w:rPr>
        <w:b/>
        <w:color w:val="68707A"/>
        <w:sz w:val="16"/>
        <w:szCs w:val="16"/>
        <w:caps/>
      </w:rPr>
      <w:t xml:space="preserve">SILICON AND STONE  ·  HOMEPAGE POSITIONING OPTIONS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A1F2E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  <w:pPr>
      <w:spacing w:after="120" w:line="312" w:lineRule="auto"/>
    </w:pPr>
    <w:rPr>
      <w:rFonts w:ascii="Arial" w:hAnsi="Arial"/>
      <w:sz w:val="22"/>
      <w:szCs w:val="22"/>
      <w:color w:val="303943"/>
    </w:rPr>
  </w:style>
  <w:style w:type="paragraph" w:styleId="Title">
    <w:name w:val="Title"/>
    <w:basedOn w:val="Normal"/>
    <w:qFormat/>
    <w:pPr>
      <w:spacing w:before="0" w:after="80"/>
      <w:keepNext/>
    </w:pPr>
    <w:rPr>
      <w:rFonts w:ascii="Arial" w:hAnsi="Arial"/>
      <w:b/>
      <w:sz w:val="50"/>
      <w:szCs w:val="50"/>
      <w:color w:val="111820"/>
    </w:rPr>
  </w:style>
  <w:style w:type="paragraph" w:styleId="Subtitle">
    <w:name w:val="Subtitle"/>
    <w:basedOn w:val="Normal"/>
    <w:qFormat/>
    <w:pPr>
      <w:spacing w:after="50"/>
    </w:pPr>
    <w:rPr>
      <w:rFonts w:ascii="Arial" w:hAnsi="Arial"/>
      <w:sz w:val="28"/>
      <w:szCs w:val="28"/>
      <w:color w:val="355F60"/>
    </w:rPr>
  </w:style>
  <w:style w:type="paragraph" w:styleId="Kicker">
    <w:name w:val="Kicker"/>
    <w:basedOn w:val="Normal"/>
    <w:pPr>
      <w:spacing w:after="150"/>
    </w:pPr>
    <w:rPr>
      <w:rFonts w:ascii="Arial" w:hAnsi="Arial"/>
      <w:b/>
      <w:caps/>
      <w:spacing w:val="20"/>
      <w:sz w:val="17"/>
      <w:szCs w:val="17"/>
      <w:color w:val="A35D13"/>
    </w:rPr>
  </w:style>
  <w:style w:type="paragraph" w:styleId="Meta">
    <w:name w:val="Meta"/>
    <w:basedOn w:val="Normal"/>
    <w:pPr>
      <w:spacing w:after="180"/>
    </w:pPr>
    <w:rPr>
      <w:rFonts w:ascii="Arial" w:hAnsi="Arial"/>
      <w:sz w:val="18"/>
      <w:szCs w:val="18"/>
      <w:color w:val="68707A"/>
    </w:rPr>
  </w:style>
  <w:style w:type="paragraph" w:styleId="Heading1">
    <w:name w:val="Heading 1"/>
    <w:basedOn w:val="Normal"/>
    <w:qFormat/>
    <w:pPr>
      <w:spacing w:before="260" w:after="100"/>
      <w:keepNext/>
    </w:pPr>
    <w:rPr>
      <w:rFonts w:ascii="Arial" w:hAnsi="Arial"/>
      <w:b/>
      <w:sz w:val="32"/>
      <w:szCs w:val="32"/>
      <w:color w:val="111820"/>
    </w:rPr>
  </w:style>
  <w:style w:type="paragraph" w:styleId="Headline">
    <w:name w:val="Headline"/>
    <w:basedOn w:val="Normal"/>
    <w:pPr>
      <w:spacing w:after="130"/>
      <w:keepNext/>
    </w:pPr>
    <w:rPr>
      <w:rFonts w:ascii="Arial" w:hAnsi="Arial"/>
      <w:b/>
      <w:sz w:val="34"/>
      <w:szCs w:val="34"/>
      <w:color w:val="111820"/>
    </w:rPr>
  </w:style>
  <w:style w:type="paragraph" w:styleId="Label">
    <w:name w:val="Label"/>
    <w:basedOn w:val="Normal"/>
    <w:pPr>
      <w:spacing w:before="110" w:after="25"/>
      <w:keepNext/>
    </w:pPr>
    <w:rPr>
      <w:rFonts w:ascii="Arial" w:hAnsi="Arial"/>
      <w:b/>
      <w:caps/>
      <w:spacing w:val="12"/>
      <w:sz w:val="17"/>
      <w:szCs w:val="17"/>
      <w:color w:val="68707A"/>
    </w:rPr>
  </w:style>
  <w:style w:type="paragraph" w:styleId="Note">
    <w:name w:val="Note"/>
    <w:basedOn w:val="Normal"/>
    <w:pPr>
      <w:spacing w:before="70" w:after="120"/>
    </w:pPr>
    <w:rPr>
      <w:rFonts w:ascii="Arial" w:hAnsi="Arial"/>
      <w:sz w:val="19"/>
      <w:szCs w:val="19"/>
      <w:color w:val="5A626C"/>
    </w:rPr>
  </w:style>
  <w:style w:type="paragraph" w:styleId="Callout">
    <w:name w:val="Callout"/>
    <w:basedOn w:val="Normal"/>
    <w:pPr>
      <w:spacing w:after="80" w:line="290" w:lineRule="auto"/>
    </w:pPr>
    <w:rPr>
      <w:rFonts w:ascii="Arial" w:hAnsi="Arial"/>
      <w:sz w:val="21"/>
      <w:szCs w:val="21"/>
      <w:color w:val="303943"/>
    </w:rPr>
  </w:style>
  <w:style w:type="paragraph" w:styleId="TableHeader">
    <w:name w:val="Table Header"/>
    <w:basedOn w:val="Normal"/>
    <w:pPr>
      <w:spacing w:after="0"/>
    </w:pPr>
    <w:rPr>
      <w:rFonts w:ascii="Arial" w:hAnsi="Arial"/>
      <w:b/>
      <w:sz w:val="19"/>
      <w:szCs w:val="19"/>
    </w:rPr>
  </w:style>
  <w:style w:type="paragraph" w:styleId="TableBody">
    <w:name w:val="Table Body"/>
    <w:basedOn w:val="Normal"/>
    <w:pPr>
      <w:spacing w:after="0" w:line="270" w:lineRule="auto"/>
    </w:pPr>
    <w:rPr>
      <w:rFonts w:ascii="Arial" w:hAnsi="Arial"/>
      <w:sz w:val="19"/>
      <w:szCs w:val="19"/>
      <w:color w:val="303943"/>
    </w:rPr>
  </w:style>
  <w:style w:type="paragraph" w:styleId="Compact">
    <w:name w:val="Compact"/>
    <w:basedOn w:val="Normal"/>
    <w:pPr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Silicon and Stone</Application>
  <DocSecurity>0</DocSecurity>
  <ScaleCrop>false</ScaleCrop>
  <Company>Silicon and Stone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and Stone Homepage Positioning Options</dc:title>
  <dc:subject>Partner review note</dc:subject>
  <dc:creator>Silicon and Stone</dc:creator>
  <cp:lastModifiedBy>Silicon and Stone</cp:lastModifiedBy>
  <dcterms:created xsi:type="dcterms:W3CDTF">2026-06-01T00:00:00Z</dcterms:created>
  <dcterms:modified xsi:type="dcterms:W3CDTF">2026-06-01T00:00:00Z</dcterms:modified>
</cp:coreProperties>
</file>