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2"/>
          <w:szCs w:val="52"/>
        </w:rPr>
        <w:t xml:space="preserve">SILICON AND STONE</w:t>
      </w:r>
    </w:p>
    <w:p>
      <w:pPr>
        <w:spacing w:after="120"/>
        <w:jc w:val="center"/>
      </w:pPr>
      <w:r>
        <w:rPr>
          <w:rFonts w:ascii="Arial" w:cs="Arial" w:eastAsia="Arial" w:hAnsi="Arial"/>
          <w:color w:val="666666"/>
          <w:sz w:val="32"/>
          <w:szCs w:val="32"/>
        </w:rPr>
        <w:t xml:space="preserve">Cold Start Playbook</w:t>
      </w:r>
    </w:p>
    <w:p>
      <w:pPr>
        <w:spacing w:after="100"/>
        <w:jc w:val="center"/>
      </w:pPr>
      <w:r>
        <w:rPr>
          <w:rFonts w:ascii="Arial" w:cs="Arial" w:eastAsia="Arial" w:hAnsi="Arial"/>
          <w:color w:val="888888"/>
          <w:sz w:val="22"/>
          <w:szCs w:val="22"/>
        </w:rPr>
        <w:t xml:space="preserve">Product Design, Client Acquisition, Platform Strategy,</w:t>
      </w:r>
    </w:p>
    <w:p>
      <w:pPr>
        <w:spacing w:after="600"/>
        <w:jc w:val="center"/>
      </w:pPr>
      <w:r>
        <w:rPr>
          <w:rFonts w:ascii="Arial" w:cs="Arial" w:eastAsia="Arial" w:hAnsi="Arial"/>
          <w:color w:val="888888"/>
          <w:sz w:val="22"/>
          <w:szCs w:val="22"/>
        </w:rPr>
        <w:t xml:space="preserve">and the Path to £7,000–£10,000/month Without a Network</w:t>
      </w:r>
    </w:p>
    <w:p>
      <w:pPr>
        <w:jc w:val="center"/>
      </w:pPr>
      <w:r>
        <w:rPr>
          <w:color w:val="1A5276"/>
          <w:sz w:val="20"/>
          <w:szCs w:val="20"/>
        </w:rPr>
        <w:t xml:space="preserve">────────────────────────────────────────</w:t>
      </w:r>
    </w:p>
    <w:p>
      <w:pPr>
        <w:spacing w:before="400" w:after="100"/>
        <w:jc w:val="center"/>
      </w:pPr>
      <w:r>
        <w:rPr>
          <w:rFonts w:ascii="Arial" w:cs="Arial" w:eastAsia="Arial" w:hAnsi="Arial"/>
          <w:color w:val="666666"/>
          <w:sz w:val="22"/>
          <w:szCs w:val="22"/>
        </w:rPr>
        <w:t xml:space="preserve">Prepared for Clive, Platform 91</w:t>
      </w:r>
    </w:p>
    <w:p>
      <w:pPr>
        <w:jc w:val="center"/>
      </w:pPr>
      <w:r>
        <w:rPr>
          <w:rFonts w:ascii="Arial" w:cs="Arial" w:eastAsia="Arial" w:hAnsi="Arial"/>
          <w:color w:val="666666"/>
          <w:sz w:val="22"/>
          <w:szCs w:val="22"/>
        </w:rPr>
        <w:t xml:space="preserve">March 2026</w:t>
      </w:r>
    </w:p>
    <w:p>
      <w:pPr>
        <w:sectPr>
          <w:pgSz w:w="11906" w:h="16838" w:orient="portrait"/>
          <w:pgMar w:top="1440" w:right="1440" w:bottom="1440" w:left="1440" w:header="708" w:footer="708" w:gutter="0"/>
          <w:pgNumType/>
          <w:docGrid w:linePitch="360"/>
        </w:sectPr>
      </w:pPr>
    </w:p>
    <w:p>
      <w:pPr>
        <w:spacing w:after="80"/>
      </w:pPr>
      <w:r>
        <w:rPr>
          <w:rFonts w:ascii="Arial" w:cs="Arial" w:eastAsia="Arial" w:hAnsi="Arial"/>
          <w:caps/>
          <w:color w:val="999999"/>
          <w:sz w:val="20"/>
          <w:szCs w:val="20"/>
        </w:rPr>
        <w:t xml:space="preserve">SECTION ONE</w:t>
      </w:r>
    </w:p>
    <w:p>
      <w:pPr>
        <w:pStyle w:val="Heading1"/>
        <w:spacing w:before="360" w:after="120"/>
      </w:pPr>
      <w:r>
        <w:rPr>
          <w:rFonts w:ascii="Arial" w:cs="Arial" w:eastAsia="Arial" w:hAnsi="Arial"/>
          <w:b/>
          <w:bCs/>
          <w:color w:val="1A5276"/>
          <w:sz w:val="32"/>
          <w:szCs w:val="32"/>
        </w:rPr>
        <w:t xml:space="preserve">The Cold Start: What Changes Without a Network</w:t>
      </w:r>
    </w:p>
    <w:p>
      <w:pPr>
        <w:spacing w:after="160"/>
      </w:pPr>
      <w:r>
        <w:rPr>
          <w:rFonts w:ascii="Arial" w:cs="Arial" w:eastAsia="Arial" w:hAnsi="Arial"/>
          <w:sz w:val="22"/>
          <w:szCs w:val="22"/>
        </w:rPr>
        <w:t xml:space="preserve">Removing the network safety net changes the strategy in three important ways. First, consulting revenue will be slower to materialise because you cannot simply email former colleagues. You need to build visibility first, and that takes time. Second, digital products become more important early on because they can sell to strangers through search and content discovery, while consulting requires a relationship. Third, the timeline to your target income extends. Without a network, reaching £7,000–10,000 per month is more realistically an 18–24 month goal rather than 12–18 months.</w:t>
      </w:r>
    </w:p>
    <w:p>
      <w:pPr>
        <w:spacing w:after="160"/>
      </w:pPr>
      <w:r>
        <w:rPr>
          <w:rFonts w:ascii="Arial" w:cs="Arial" w:eastAsia="Arial" w:hAnsi="Arial"/>
          <w:sz w:val="22"/>
          <w:szCs w:val="22"/>
        </w:rPr>
        <w:t xml:space="preserve">However, the cold start has one advantage: everything you build is scalable. A network-dependent consulting practice is limited by the size of your network. A content-driven consulting practice grows with your audience, which has no ceiling. You are building something that compounds rather than depletes.</w:t>
      </w:r>
    </w:p>
    <w:p>
      <w:pPr>
        <w:spacing w:after="160"/>
      </w:pPr>
      <w:r>
        <w:rPr>
          <w:rFonts w:ascii="Arial" w:cs="Arial" w:eastAsia="Arial" w:hAnsi="Arial"/>
          <w:sz w:val="22"/>
          <w:szCs w:val="22"/>
        </w:rPr>
        <w:t xml:space="preserve">The revised revenue priority order for a cold start is:</w:t>
      </w:r>
    </w:p>
    <w:p>
      <w:pPr>
        <w:pStyle w:val="ListParagraph"/>
        <w:numPr>
          <w:ilvl w:val="0"/>
          <w:numId w:val="2"/>
        </w:numPr>
        <w:spacing w:after="80"/>
      </w:pPr>
      <w:r>
        <w:rPr>
          <w:rFonts w:ascii="Arial" w:cs="Arial" w:eastAsia="Arial" w:hAnsi="Arial"/>
          <w:b/>
          <w:bCs/>
          <w:sz w:val="22"/>
          <w:szCs w:val="22"/>
        </w:rPr>
        <w:t xml:space="preserve">Digital products (months 1–3): </w:t>
      </w:r>
      <w:r>
        <w:rPr>
          <w:rFonts w:ascii="Arial" w:cs="Arial" w:eastAsia="Arial" w:hAnsi="Arial"/>
          <w:sz w:val="22"/>
          <w:szCs w:val="22"/>
        </w:rPr>
        <w:t xml:space="preserve">These sell to strangers through your content. No relationship required. They establish your expertise and generate early revenue while the audience grows.</w:t>
      </w:r>
    </w:p>
    <w:p>
      <w:pPr>
        <w:pStyle w:val="ListParagraph"/>
        <w:numPr>
          <w:ilvl w:val="0"/>
          <w:numId w:val="2"/>
        </w:numPr>
        <w:spacing w:after="80"/>
      </w:pPr>
      <w:r>
        <w:rPr>
          <w:rFonts w:ascii="Arial" w:cs="Arial" w:eastAsia="Arial" w:hAnsi="Arial"/>
          <w:b/>
          <w:bCs/>
          <w:sz w:val="22"/>
          <w:szCs w:val="22"/>
        </w:rPr>
        <w:t xml:space="preserve">YouTube and newsletter (months 1–12): </w:t>
      </w:r>
      <w:r>
        <w:rPr>
          <w:rFonts w:ascii="Arial" w:cs="Arial" w:eastAsia="Arial" w:hAnsi="Arial"/>
          <w:sz w:val="22"/>
          <w:szCs w:val="22"/>
        </w:rPr>
        <w:t xml:space="preserve">The audience-building engine. Every piece of content is a potential entry point for a future customer, subscriber, or consulting client. Consistency is everything.</w:t>
      </w:r>
    </w:p>
    <w:p>
      <w:pPr>
        <w:pStyle w:val="ListParagraph"/>
        <w:numPr>
          <w:ilvl w:val="0"/>
          <w:numId w:val="2"/>
        </w:numPr>
        <w:spacing w:after="80"/>
      </w:pPr>
      <w:r>
        <w:rPr>
          <w:rFonts w:ascii="Arial" w:cs="Arial" w:eastAsia="Arial" w:hAnsi="Arial"/>
          <w:b/>
          <w:bCs/>
          <w:sz w:val="22"/>
          <w:szCs w:val="22"/>
        </w:rPr>
        <w:t xml:space="preserve">Paid newsletter (months 4–6): </w:t>
      </w:r>
      <w:r>
        <w:rPr>
          <w:rFonts w:ascii="Arial" w:cs="Arial" w:eastAsia="Arial" w:hAnsi="Arial"/>
          <w:sz w:val="22"/>
          <w:szCs w:val="22"/>
        </w:rPr>
        <w:t xml:space="preserve">Once you have a free subscriber base of 300+, launch the premium tier. This creates recurring revenue that grows predictably.</w:t>
      </w:r>
    </w:p>
    <w:p>
      <w:pPr>
        <w:pStyle w:val="ListParagraph"/>
        <w:numPr>
          <w:ilvl w:val="0"/>
          <w:numId w:val="2"/>
        </w:numPr>
        <w:spacing w:after="80"/>
      </w:pPr>
      <w:r>
        <w:rPr>
          <w:rFonts w:ascii="Arial" w:cs="Arial" w:eastAsia="Arial" w:hAnsi="Arial"/>
          <w:b/>
          <w:bCs/>
          <w:sz w:val="22"/>
          <w:szCs w:val="22"/>
        </w:rPr>
        <w:t xml:space="preserve">Consulting (months 6–12): </w:t>
      </w:r>
      <w:r>
        <w:rPr>
          <w:rFonts w:ascii="Arial" w:cs="Arial" w:eastAsia="Arial" w:hAnsi="Arial"/>
          <w:sz w:val="22"/>
          <w:szCs w:val="22"/>
        </w:rPr>
        <w:t xml:space="preserve">Enquiries will begin arriving once your content library is substantial enough that people discover you through search and recommendations. This is slower than network-driven consulting, but the clients who find you through content are often better fits.</w:t>
      </w:r>
    </w:p>
    <w:p>
      <w:pPr>
        <w:pStyle w:val="ListParagraph"/>
        <w:numPr>
          <w:ilvl w:val="0"/>
          <w:numId w:val="2"/>
        </w:numPr>
        <w:spacing w:after="80"/>
      </w:pPr>
      <w:r>
        <w:rPr>
          <w:rFonts w:ascii="Arial" w:cs="Arial" w:eastAsia="Arial" w:hAnsi="Arial"/>
          <w:b/>
          <w:bCs/>
          <w:sz w:val="22"/>
          <w:szCs w:val="22"/>
        </w:rPr>
        <w:t xml:space="preserve">Sponsorship (months 9–15): </w:t>
      </w:r>
      <w:r>
        <w:rPr>
          <w:rFonts w:ascii="Arial" w:cs="Arial" w:eastAsia="Arial" w:hAnsi="Arial"/>
          <w:sz w:val="22"/>
          <w:szCs w:val="22"/>
        </w:rPr>
        <w:t xml:space="preserve">Requires audience scale. Be patient with this one.</w:t>
      </w:r>
    </w:p>
    <w:p>
      <w:r>
        <w:br w:type="page"/>
      </w:r>
    </w:p>
    <w:p>
      <w:pPr>
        <w:spacing w:after="80"/>
      </w:pPr>
      <w:r>
        <w:rPr>
          <w:rFonts w:ascii="Arial" w:cs="Arial" w:eastAsia="Arial" w:hAnsi="Arial"/>
          <w:caps/>
          <w:color w:val="999999"/>
          <w:sz w:val="20"/>
          <w:szCs w:val="20"/>
        </w:rPr>
        <w:t xml:space="preserve">SECTION TWO</w:t>
      </w:r>
    </w:p>
    <w:p>
      <w:pPr>
        <w:pStyle w:val="Heading1"/>
        <w:spacing w:before="360" w:after="120"/>
      </w:pPr>
      <w:r>
        <w:rPr>
          <w:rFonts w:ascii="Arial" w:cs="Arial" w:eastAsia="Arial" w:hAnsi="Arial"/>
          <w:b/>
          <w:bCs/>
          <w:color w:val="1A5276"/>
          <w:sz w:val="32"/>
          <w:szCs w:val="32"/>
        </w:rPr>
        <w:t xml:space="preserve">Product Design: The AI Act Compliance Toolkit</w:t>
      </w:r>
    </w:p>
    <w:p>
      <w:pPr>
        <w:spacing w:after="160"/>
      </w:pPr>
      <w:r>
        <w:rPr>
          <w:rFonts w:ascii="Arial" w:cs="Arial" w:eastAsia="Arial" w:hAnsi="Arial"/>
          <w:sz w:val="22"/>
          <w:szCs w:val="22"/>
        </w:rPr>
        <w:t xml:space="preserve">This is your flagship digital product and the one most likely to generate meaningful revenue earliest, because it addresses a specific, time-bound problem that thousands of European businesses already know they need to solve. The August 2026 AI Act enforcement deadline creates natural urgency. Below is the detailed specification for what this product should contain, how it should be structured, and how to produce it efficiently.</w:t>
      </w:r>
    </w:p>
    <w:p>
      <w:pPr>
        <w:pStyle w:val="Heading2"/>
        <w:spacing w:before="240" w:after="120"/>
      </w:pPr>
      <w:r>
        <w:rPr>
          <w:rFonts w:ascii="Arial" w:cs="Arial" w:eastAsia="Arial" w:hAnsi="Arial"/>
          <w:b/>
          <w:bCs/>
          <w:color w:val="1A5276"/>
          <w:sz w:val="26"/>
          <w:szCs w:val="26"/>
        </w:rPr>
        <w:t xml:space="preserve">What You Are Solving</w:t>
      </w:r>
    </w:p>
    <w:p>
      <w:pPr>
        <w:spacing w:after="160"/>
      </w:pPr>
      <w:r>
        <w:rPr>
          <w:rFonts w:ascii="Arial" w:cs="Arial" w:eastAsia="Arial" w:hAnsi="Arial"/>
          <w:sz w:val="22"/>
          <w:szCs w:val="22"/>
        </w:rPr>
        <w:t xml:space="preserve">A mid-sized European business knows the AI Act exists. They have probably read a few articles about it. But they do not know, specifically, what they need to do, by when, and how to do it. Their options are to hire a law firm (expensive and slow), hire a consultancy (also expensive), or try to figure it out themselves from the 458-page regulation (nobody will do this). Your toolkit sits in the gap between the law firm and doing nothing. It is practical, affordable, and immediately actionable.</w:t>
      </w:r>
    </w:p>
    <w:p>
      <w:pPr>
        <w:pStyle w:val="Heading2"/>
        <w:spacing w:before="240" w:after="120"/>
      </w:pPr>
      <w:r>
        <w:rPr>
          <w:rFonts w:ascii="Arial" w:cs="Arial" w:eastAsia="Arial" w:hAnsi="Arial"/>
          <w:b/>
          <w:bCs/>
          <w:color w:val="1A5276"/>
          <w:sz w:val="26"/>
          <w:szCs w:val="26"/>
        </w:rPr>
        <w:t xml:space="preserve">Product Structure: Page by Page</w:t>
      </w:r>
    </w:p>
    <w:p>
      <w:pPr>
        <w:spacing w:after="160"/>
      </w:pPr>
      <w:r>
        <w:rPr>
          <w:rFonts w:ascii="Arial" w:cs="Arial" w:eastAsia="Arial" w:hAnsi="Arial"/>
          <w:sz w:val="22"/>
          <w:szCs w:val="22"/>
        </w:rPr>
        <w:t xml:space="preserve">The toolkit should be approximately 45–60 pages, formatted as a professional PDF with your Silicon and Stone branding. It is not a legal document and should never position itself as legal advice. It is a practical operational guide.</w:t>
      </w:r>
    </w:p>
    <w:p>
      <w:pPr>
        <w:pStyle w:val="ListParagraph"/>
        <w:numPr>
          <w:ilvl w:val="0"/>
          <w:numId w:val="3"/>
        </w:numPr>
        <w:spacing w:after="80"/>
      </w:pPr>
      <w:r>
        <w:rPr>
          <w:rFonts w:ascii="Arial" w:cs="Arial" w:eastAsia="Arial" w:hAnsi="Arial"/>
          <w:b/>
          <w:bCs/>
          <w:sz w:val="22"/>
          <w:szCs w:val="22"/>
        </w:rPr>
        <w:t xml:space="preserve">Section 1: Executive Summary (3–4 pages). </w:t>
      </w:r>
      <w:r>
        <w:rPr>
          <w:rFonts w:ascii="Arial" w:cs="Arial" w:eastAsia="Arial" w:hAnsi="Arial"/>
          <w:sz w:val="22"/>
          <w:szCs w:val="22"/>
        </w:rPr>
        <w:t xml:space="preserve">A plain-language overview of what the AI Act requires, who it applies to, and the key dates. Written for someone who has 10 minutes and needs to understand the essentials. This section alone should be worth the purchase price — it is the section that gets forwarded to board members.</w:t>
      </w:r>
    </w:p>
    <w:p>
      <w:pPr>
        <w:pStyle w:val="ListParagraph"/>
        <w:numPr>
          <w:ilvl w:val="0"/>
          <w:numId w:val="3"/>
        </w:numPr>
        <w:spacing w:after="80"/>
      </w:pPr>
      <w:r>
        <w:rPr>
          <w:rFonts w:ascii="Arial" w:cs="Arial" w:eastAsia="Arial" w:hAnsi="Arial"/>
          <w:b/>
          <w:bCs/>
          <w:sz w:val="22"/>
          <w:szCs w:val="22"/>
        </w:rPr>
        <w:t xml:space="preserve">Section 2: The Risk Classification Decision Tree (6–8 pages). </w:t>
      </w:r>
      <w:r>
        <w:rPr>
          <w:rFonts w:ascii="Arial" w:cs="Arial" w:eastAsia="Arial" w:hAnsi="Arial"/>
          <w:sz w:val="22"/>
          <w:szCs w:val="22"/>
        </w:rPr>
        <w:t xml:space="preserve">A visual flowchart that walks the reader through determining the risk category of each AI system they use. Start with simple yes/no questions: Does your AI system make decisions about people? Does it process biometric data? Is it used in a critical infrastructure context? Each path leads to a clear classification: Prohibited, High-Risk, Limited Risk, or Minimal Risk. Accompany the flowchart with worked examples from common business scenarios — a manufacturer using AI quality inspection, a bank using AI credit scoring, a retailer using AI product recommendations.</w:t>
      </w:r>
    </w:p>
    <w:p>
      <w:pPr>
        <w:pStyle w:val="ListParagraph"/>
        <w:numPr>
          <w:ilvl w:val="0"/>
          <w:numId w:val="3"/>
        </w:numPr>
        <w:spacing w:after="80"/>
      </w:pPr>
      <w:r>
        <w:rPr>
          <w:rFonts w:ascii="Arial" w:cs="Arial" w:eastAsia="Arial" w:hAnsi="Arial"/>
          <w:b/>
          <w:bCs/>
          <w:sz w:val="22"/>
          <w:szCs w:val="22"/>
        </w:rPr>
        <w:t xml:space="preserve">Section 3: Compliance Requirements by Risk Category (10–12 pages). </w:t>
      </w:r>
      <w:r>
        <w:rPr>
          <w:rFonts w:ascii="Arial" w:cs="Arial" w:eastAsia="Arial" w:hAnsi="Arial"/>
          <w:sz w:val="22"/>
          <w:szCs w:val="22"/>
        </w:rPr>
        <w:t xml:space="preserve">For each risk category, a detailed breakdown of what the business must do. For high-risk systems, this includes: technical documentation requirements, quality management systems, conformity assessments, human oversight provisions, accuracy and robustness standards, and post-market monitoring obligations. Each requirement should include a plain-language explanation, a practical example of what compliance looks like, and a cross-reference to the specific article of the AI Act.</w:t>
      </w:r>
    </w:p>
    <w:p>
      <w:pPr>
        <w:pStyle w:val="ListParagraph"/>
        <w:numPr>
          <w:ilvl w:val="0"/>
          <w:numId w:val="3"/>
        </w:numPr>
        <w:spacing w:after="80"/>
      </w:pPr>
      <w:r>
        <w:rPr>
          <w:rFonts w:ascii="Arial" w:cs="Arial" w:eastAsia="Arial" w:hAnsi="Arial"/>
          <w:b/>
          <w:bCs/>
          <w:sz w:val="22"/>
          <w:szCs w:val="22"/>
        </w:rPr>
        <w:t xml:space="preserve">Section 4: The Compliance Checklist (8–10 pages). </w:t>
      </w:r>
      <w:r>
        <w:rPr>
          <w:rFonts w:ascii="Arial" w:cs="Arial" w:eastAsia="Arial" w:hAnsi="Arial"/>
          <w:sz w:val="22"/>
          <w:szCs w:val="22"/>
        </w:rPr>
        <w:t xml:space="preserve">A structured, tick-box checklist that a compliance officer or operations manager can work through system by system. Organised by risk category, then by obligation type. Each item has a status field (Not Started / In Progress / Complete), an owner field, and a target date field. This is the section people will print out and pin to their wall.</w:t>
      </w:r>
    </w:p>
    <w:p>
      <w:pPr>
        <w:pStyle w:val="ListParagraph"/>
        <w:numPr>
          <w:ilvl w:val="0"/>
          <w:numId w:val="3"/>
        </w:numPr>
        <w:spacing w:after="80"/>
      </w:pPr>
      <w:r>
        <w:rPr>
          <w:rFonts w:ascii="Arial" w:cs="Arial" w:eastAsia="Arial" w:hAnsi="Arial"/>
          <w:b/>
          <w:bCs/>
          <w:sz w:val="22"/>
          <w:szCs w:val="22"/>
        </w:rPr>
        <w:t xml:space="preserve">Section 5: Template Documents (8–10 pages). </w:t>
      </w:r>
      <w:r>
        <w:rPr>
          <w:rFonts w:ascii="Arial" w:cs="Arial" w:eastAsia="Arial" w:hAnsi="Arial"/>
          <w:sz w:val="22"/>
          <w:szCs w:val="22"/>
        </w:rPr>
        <w:t xml:space="preserve">Ready-to-adapt templates including: an AI Systems Register (a table for cataloguing every AI system in the organisation with fields for vendor, purpose, data inputs, risk classification, and compliance status); a Transparency Notice template (the disclosure text required when AI interacts with people); an Internal AI Governance Policy template; and a Vendor Assessment Questionnaire for evaluating AI suppliers.</w:t>
      </w:r>
    </w:p>
    <w:p>
      <w:pPr>
        <w:pStyle w:val="ListParagraph"/>
        <w:numPr>
          <w:ilvl w:val="0"/>
          <w:numId w:val="3"/>
        </w:numPr>
        <w:spacing w:after="80"/>
      </w:pPr>
      <w:r>
        <w:rPr>
          <w:rFonts w:ascii="Arial" w:cs="Arial" w:eastAsia="Arial" w:hAnsi="Arial"/>
          <w:b/>
          <w:bCs/>
          <w:sz w:val="22"/>
          <w:szCs w:val="22"/>
        </w:rPr>
        <w:t xml:space="preserve">Section 6: Timeline and Action Plan (4–5 pages). </w:t>
      </w:r>
      <w:r>
        <w:rPr>
          <w:rFonts w:ascii="Arial" w:cs="Arial" w:eastAsia="Arial" w:hAnsi="Arial"/>
          <w:sz w:val="22"/>
          <w:szCs w:val="22"/>
        </w:rPr>
        <w:t xml:space="preserve">A visual timeline from now to full enforcement, with specific milestones and recommended actions at each stage. A suggested 90-day action plan for a business that is starting from scratch today.</w:t>
      </w:r>
    </w:p>
    <w:p>
      <w:pPr>
        <w:pStyle w:val="ListParagraph"/>
        <w:numPr>
          <w:ilvl w:val="0"/>
          <w:numId w:val="3"/>
        </w:numPr>
        <w:spacing w:after="80"/>
      </w:pPr>
      <w:r>
        <w:rPr>
          <w:rFonts w:ascii="Arial" w:cs="Arial" w:eastAsia="Arial" w:hAnsi="Arial"/>
          <w:b/>
          <w:bCs/>
          <w:sz w:val="22"/>
          <w:szCs w:val="22"/>
        </w:rPr>
        <w:t xml:space="preserve">Appendix: Glossary and Resources (3–4 pages). </w:t>
      </w:r>
      <w:r>
        <w:rPr>
          <w:rFonts w:ascii="Arial" w:cs="Arial" w:eastAsia="Arial" w:hAnsi="Arial"/>
          <w:sz w:val="22"/>
          <w:szCs w:val="22"/>
        </w:rPr>
        <w:t xml:space="preserve">Definitions of key terms, links to official EU resources, and recommended further reading. Include a link to your YouTube channel and newsletter for ongoing updates.</w:t>
      </w:r>
    </w:p>
    <w:p>
      <w:pPr>
        <w:pStyle w:val="Heading2"/>
        <w:spacing w:before="240" w:after="120"/>
      </w:pPr>
      <w:r>
        <w:rPr>
          <w:rFonts w:ascii="Arial" w:cs="Arial" w:eastAsia="Arial" w:hAnsi="Arial"/>
          <w:b/>
          <w:bCs/>
          <w:color w:val="1A5276"/>
          <w:sz w:val="26"/>
          <w:szCs w:val="26"/>
        </w:rPr>
        <w:t xml:space="preserve">Accompanying Spreadsheets</w:t>
      </w:r>
    </w:p>
    <w:p>
      <w:pPr>
        <w:spacing w:after="160"/>
      </w:pPr>
      <w:r>
        <w:rPr>
          <w:rFonts w:ascii="Arial" w:cs="Arial" w:eastAsia="Arial" w:hAnsi="Arial"/>
          <w:sz w:val="22"/>
          <w:szCs w:val="22"/>
        </w:rPr>
        <w:t xml:space="preserve">The PDF is accompanied by two Excel files that buyers can immediately put to use:</w:t>
      </w:r>
    </w:p>
    <w:p>
      <w:pPr>
        <w:pStyle w:val="ListParagraph"/>
        <w:numPr>
          <w:ilvl w:val="0"/>
          <w:numId w:val="4"/>
        </w:numPr>
        <w:spacing w:after="80"/>
      </w:pPr>
      <w:r>
        <w:rPr>
          <w:rFonts w:ascii="Arial" w:cs="Arial" w:eastAsia="Arial" w:hAnsi="Arial"/>
          <w:b/>
          <w:bCs/>
          <w:sz w:val="22"/>
          <w:szCs w:val="22"/>
        </w:rPr>
        <w:t xml:space="preserve">AI Systems Register spreadsheet: </w:t>
      </w:r>
      <w:r>
        <w:rPr>
          <w:rFonts w:ascii="Arial" w:cs="Arial" w:eastAsia="Arial" w:hAnsi="Arial"/>
          <w:sz w:val="22"/>
          <w:szCs w:val="22"/>
        </w:rPr>
        <w:t xml:space="preserve">A pre-formatted workbook with columns for System Name, Vendor, Department, Purpose, Data Inputs, Data Outputs, Risk Classification, Compliance Status, Owner, Review Date, and Notes. Include conditional formatting so that high-risk systems are highlighted automatically. Pre-populate with three example rows showing how to fill it in.</w:t>
      </w:r>
    </w:p>
    <w:p>
      <w:pPr>
        <w:pStyle w:val="ListParagraph"/>
        <w:numPr>
          <w:ilvl w:val="0"/>
          <w:numId w:val="4"/>
        </w:numPr>
        <w:spacing w:after="80"/>
      </w:pPr>
      <w:r>
        <w:rPr>
          <w:rFonts w:ascii="Arial" w:cs="Arial" w:eastAsia="Arial" w:hAnsi="Arial"/>
          <w:b/>
          <w:bCs/>
          <w:sz w:val="22"/>
          <w:szCs w:val="22"/>
        </w:rPr>
        <w:t xml:space="preserve">Compliance Tracker spreadsheet: </w:t>
      </w:r>
      <w:r>
        <w:rPr>
          <w:rFonts w:ascii="Arial" w:cs="Arial" w:eastAsia="Arial" w:hAnsi="Arial"/>
          <w:sz w:val="22"/>
          <w:szCs w:val="22"/>
        </w:rPr>
        <w:t xml:space="preserve">A project-management-style tracker with each compliance requirement as a row, columns for status, owner, deadline, evidence location, and a dashboard tab that automatically calculates the percentage of requirements completed. This turns the PDF checklist into a living operational tool.</w:t>
      </w:r>
    </w:p>
    <w:p>
      <w:pPr>
        <w:pStyle w:val="Heading2"/>
        <w:spacing w:before="240" w:after="120"/>
      </w:pPr>
      <w:r>
        <w:rPr>
          <w:rFonts w:ascii="Arial" w:cs="Arial" w:eastAsia="Arial" w:hAnsi="Arial"/>
          <w:b/>
          <w:bCs/>
          <w:color w:val="1A5276"/>
          <w:sz w:val="26"/>
          <w:szCs w:val="26"/>
        </w:rPr>
        <w:t xml:space="preserve">Pricing Strategy</w:t>
      </w:r>
    </w:p>
    <w:p>
      <w:pPr>
        <w:spacing w:after="160"/>
      </w:pPr>
      <w:r>
        <w:rPr>
          <w:rFonts w:ascii="Arial" w:cs="Arial" w:eastAsia="Arial" w:hAnsi="Arial"/>
          <w:sz w:val="22"/>
          <w:szCs w:val="22"/>
        </w:rPr>
        <w:t xml:space="preserve">Price the toolkit at £79 for the standard package (PDF plus spreadsheets). Consider a £149 professional package that adds a 30-minute video walkthrough of how to use the toolkit, recorded by you. The video walkthrough costs you an afternoon to produce but doubles the price for a significant proportion of buyers, and it reinforces your personal brand and expertise.</w:t>
      </w:r>
    </w:p>
    <w:p>
      <w:pPr>
        <w:spacing w:after="160"/>
      </w:pPr>
      <w:r>
        <w:rPr>
          <w:rFonts w:ascii="Arial" w:cs="Arial" w:eastAsia="Arial" w:hAnsi="Arial"/>
          <w:sz w:val="22"/>
          <w:szCs w:val="22"/>
        </w:rPr>
        <w:t xml:space="preserve">Do not price below £49. Pricing too low signals low quality to your target audience. A compliance officer at a mid-sized manufacturer will not trust a £19 toolkit with something as consequential as regulatory compliance. At £79, the price is low enough to be bought on a corporate credit card without procurement approval, but high enough to signal professional quality.</w:t>
      </w:r>
    </w:p>
    <w:p>
      <w:pPr>
        <w:pStyle w:val="Heading2"/>
        <w:spacing w:before="240" w:after="120"/>
      </w:pPr>
      <w:r>
        <w:rPr>
          <w:rFonts w:ascii="Arial" w:cs="Arial" w:eastAsia="Arial" w:hAnsi="Arial"/>
          <w:b/>
          <w:bCs/>
          <w:color w:val="1A5276"/>
          <w:sz w:val="26"/>
          <w:szCs w:val="26"/>
        </w:rPr>
        <w:t xml:space="preserve">Production Timeline</w:t>
      </w:r>
    </w:p>
    <w:p>
      <w:pPr>
        <w:spacing w:after="160"/>
      </w:pPr>
      <w:r>
        <w:rPr>
          <w:rFonts w:ascii="Arial" w:cs="Arial" w:eastAsia="Arial" w:hAnsi="Arial"/>
          <w:sz w:val="22"/>
          <w:szCs w:val="22"/>
        </w:rPr>
        <w:t xml:space="preserve">Allow two to three weeks of focused work to produce the first version. Week one: research, structure, and write sections 1–3. Week two: write sections 4–6, build the spreadsheets, and design the templates. Week three: design, proofread, test the spreadsheets, and record the video walkthrough if offering the professional package. You can begin selling while continuing to refine — version 1.0 does not need to be perfect, but it does need to be accurate and professionally presented.</w:t>
      </w:r>
    </w:p>
    <w:p>
      <w:pPr>
        <w:pStyle w:val="Heading2"/>
        <w:spacing w:before="240" w:after="120"/>
      </w:pPr>
      <w:r>
        <w:rPr>
          <w:rFonts w:ascii="Arial" w:cs="Arial" w:eastAsia="Arial" w:hAnsi="Arial"/>
          <w:b/>
          <w:bCs/>
          <w:color w:val="1A5276"/>
          <w:sz w:val="26"/>
          <w:szCs w:val="26"/>
        </w:rPr>
        <w:t xml:space="preserve">Distribution Platform</w:t>
      </w:r>
    </w:p>
    <w:p>
      <w:pPr>
        <w:spacing w:after="160"/>
      </w:pPr>
      <w:r>
        <w:rPr>
          <w:rFonts w:ascii="Arial" w:cs="Arial" w:eastAsia="Arial" w:hAnsi="Arial"/>
          <w:sz w:val="22"/>
          <w:szCs w:val="22"/>
        </w:rPr>
        <w:t xml:space="preserve">Use Payhip or Gumroad for initial distribution. Both handle payment processing, digital delivery, EU VAT compliance (critical for selling to European businesses), and basic analytics. Payhip takes a smaller cut (5% on the basic plan versus Gumroad’s 10%) and handles EU VAT automatically. As volume grows, you can move to selling directly through your own website using Stripe, but for launch, a platform removes complexity.</w:t>
      </w:r>
    </w:p>
    <w:p>
      <w:pPr>
        <w:pStyle w:val="Heading2"/>
        <w:spacing w:before="240" w:after="120"/>
      </w:pPr>
      <w:r>
        <w:rPr>
          <w:rFonts w:ascii="Arial" w:cs="Arial" w:eastAsia="Arial" w:hAnsi="Arial"/>
          <w:b/>
          <w:bCs/>
          <w:color w:val="1A5276"/>
          <w:sz w:val="26"/>
          <w:szCs w:val="26"/>
        </w:rPr>
        <w:t xml:space="preserve">How This Product Sells Without a Network</w:t>
      </w:r>
    </w:p>
    <w:p>
      <w:pPr>
        <w:spacing w:after="160"/>
      </w:pPr>
      <w:r>
        <w:rPr>
          <w:rFonts w:ascii="Arial" w:cs="Arial" w:eastAsia="Arial" w:hAnsi="Arial"/>
          <w:sz w:val="22"/>
          <w:szCs w:val="22"/>
        </w:rPr>
        <w:t xml:space="preserve">This is the crucial point. The toolkit sells through content, not through relationships. Every YouTube video you make about the AI Act includes a natural mention: “If you want to actually work through this for your own business, I’ve built a compliance toolkit that walks you through it step by step. Link in the description.” Every newsletter edition that touches on AI regulation includes the same soft reference. Over time, as your content library grows and ranks in search results, the toolkit becomes discoverable by people who have never heard of you but who are searching for “AI Act compliance guide” or “EU AI regulation checklist.”</w:t>
      </w:r>
    </w:p>
    <w:p>
      <w:r>
        <w:br w:type="page"/>
      </w:r>
    </w:p>
    <w:p>
      <w:pPr>
        <w:pStyle w:val="Heading1"/>
        <w:spacing w:before="360" w:after="120"/>
      </w:pPr>
      <w:r>
        <w:rPr>
          <w:rFonts w:ascii="Arial" w:cs="Arial" w:eastAsia="Arial" w:hAnsi="Arial"/>
          <w:b/>
          <w:bCs/>
          <w:color w:val="1A5276"/>
          <w:sz w:val="32"/>
          <w:szCs w:val="32"/>
        </w:rPr>
        <w:t xml:space="preserve">Product Design: Sector-Specific AI Briefings</w:t>
      </w:r>
    </w:p>
    <w:p>
      <w:pPr>
        <w:spacing w:after="160"/>
      </w:pPr>
      <w:r>
        <w:rPr>
          <w:rFonts w:ascii="Arial" w:cs="Arial" w:eastAsia="Arial" w:hAnsi="Arial"/>
          <w:sz w:val="22"/>
          <w:szCs w:val="22"/>
        </w:rPr>
        <w:t xml:space="preserve">These are shorter, more focused products that serve a different purpose from the Compliance Toolkit. Where the toolkit addresses a horizontal problem (every business needs to comply with the AI Act), the briefings address vertical questions (what does AI mean specifically for my industry?). They are faster to produce, cheaper to buy, and they build a catalogue that compounds over time.</w:t>
      </w:r>
    </w:p>
    <w:p>
      <w:pPr>
        <w:pStyle w:val="Heading2"/>
        <w:spacing w:before="240" w:after="120"/>
      </w:pPr>
      <w:r>
        <w:rPr>
          <w:rFonts w:ascii="Arial" w:cs="Arial" w:eastAsia="Arial" w:hAnsi="Arial"/>
          <w:b/>
          <w:bCs/>
          <w:color w:val="1A5276"/>
          <w:sz w:val="26"/>
          <w:szCs w:val="26"/>
        </w:rPr>
        <w:t xml:space="preserve">Briefing Template Structure</w:t>
      </w:r>
    </w:p>
    <w:p>
      <w:pPr>
        <w:spacing w:after="160"/>
      </w:pPr>
      <w:r>
        <w:rPr>
          <w:rFonts w:ascii="Arial" w:cs="Arial" w:eastAsia="Arial" w:hAnsi="Arial"/>
          <w:sz w:val="22"/>
          <w:szCs w:val="22"/>
        </w:rPr>
        <w:t xml:space="preserve">Every briefing follows the same structure. This consistency reduces your production time (you are filling a template, not designing from scratch each time) and creates a recognisable format that buyers come to trust.</w:t>
      </w:r>
    </w:p>
    <w:p>
      <w:pPr>
        <w:pStyle w:val="ListParagraph"/>
        <w:numPr>
          <w:ilvl w:val="0"/>
          <w:numId w:val="5"/>
        </w:numPr>
        <w:spacing w:after="80"/>
      </w:pPr>
      <w:r>
        <w:rPr>
          <w:rFonts w:ascii="Arial" w:cs="Arial" w:eastAsia="Arial" w:hAnsi="Arial"/>
          <w:b/>
          <w:bCs/>
          <w:sz w:val="22"/>
          <w:szCs w:val="22"/>
        </w:rPr>
        <w:t xml:space="preserve">Cover page and executive summary (1 page). </w:t>
      </w:r>
      <w:r>
        <w:rPr>
          <w:rFonts w:ascii="Arial" w:cs="Arial" w:eastAsia="Arial" w:hAnsi="Arial"/>
          <w:sz w:val="22"/>
          <w:szCs w:val="22"/>
        </w:rPr>
        <w:t xml:space="preserve">The sector, the date, and three bullet points summarising the key findings. A busy executive should be able to read this page alone and know whether to read further.</w:t>
      </w:r>
    </w:p>
    <w:p>
      <w:pPr>
        <w:pStyle w:val="ListParagraph"/>
        <w:numPr>
          <w:ilvl w:val="0"/>
          <w:numId w:val="5"/>
        </w:numPr>
        <w:spacing w:after="80"/>
      </w:pPr>
      <w:r>
        <w:rPr>
          <w:rFonts w:ascii="Arial" w:cs="Arial" w:eastAsia="Arial" w:hAnsi="Arial"/>
          <w:b/>
          <w:bCs/>
          <w:sz w:val="22"/>
          <w:szCs w:val="22"/>
        </w:rPr>
        <w:t xml:space="preserve">The AI landscape in this sector (3–4 pages). </w:t>
      </w:r>
      <w:r>
        <w:rPr>
          <w:rFonts w:ascii="Arial" w:cs="Arial" w:eastAsia="Arial" w:hAnsi="Arial"/>
          <w:sz w:val="22"/>
          <w:szCs w:val="22"/>
        </w:rPr>
        <w:t xml:space="preserve">What AI applications are currently deployed or emerging in this industry? Who are the main vendors? What are the adoption rates? Use specific examples and data where possible — not “AI is transforming manufacturing” but “38% of German manufacturers now use AI for quality inspection, up from 12% in 2023.”</w:t>
      </w:r>
    </w:p>
    <w:p>
      <w:pPr>
        <w:pStyle w:val="ListParagraph"/>
        <w:numPr>
          <w:ilvl w:val="0"/>
          <w:numId w:val="5"/>
        </w:numPr>
        <w:spacing w:after="80"/>
      </w:pPr>
      <w:r>
        <w:rPr>
          <w:rFonts w:ascii="Arial" w:cs="Arial" w:eastAsia="Arial" w:hAnsi="Arial"/>
          <w:b/>
          <w:bCs/>
          <w:sz w:val="22"/>
          <w:szCs w:val="22"/>
        </w:rPr>
        <w:t xml:space="preserve">Regulatory exposure analysis (3–4 pages). </w:t>
      </w:r>
      <w:r>
        <w:rPr>
          <w:rFonts w:ascii="Arial" w:cs="Arial" w:eastAsia="Arial" w:hAnsi="Arial"/>
          <w:sz w:val="22"/>
          <w:szCs w:val="22"/>
        </w:rPr>
        <w:t xml:space="preserve">How does the AI Act specifically affect this sector? Which common AI applications in this industry are likely to be classified as high-risk? What are the specific compliance obligations? This is the section that directly references and extends the Compliance Toolkit.</w:t>
      </w:r>
    </w:p>
    <w:p>
      <w:pPr>
        <w:pStyle w:val="ListParagraph"/>
        <w:numPr>
          <w:ilvl w:val="0"/>
          <w:numId w:val="5"/>
        </w:numPr>
        <w:spacing w:after="80"/>
      </w:pPr>
      <w:r>
        <w:rPr>
          <w:rFonts w:ascii="Arial" w:cs="Arial" w:eastAsia="Arial" w:hAnsi="Arial"/>
          <w:b/>
          <w:bCs/>
          <w:sz w:val="22"/>
          <w:szCs w:val="22"/>
        </w:rPr>
        <w:t xml:space="preserve">Geopolitical risk assessment (2–3 pages). </w:t>
      </w:r>
      <w:r>
        <w:rPr>
          <w:rFonts w:ascii="Arial" w:cs="Arial" w:eastAsia="Arial" w:hAnsi="Arial"/>
          <w:sz w:val="22"/>
          <w:szCs w:val="22"/>
        </w:rPr>
        <w:t xml:space="preserve">How exposed is this sector to US technology dependency? What happens if transatlantic data flows are disrupted? What are the semiconductor supply chain risks specific to this industry? This is where your Silicon and Stone analytical framework adds unique value that generic compliance guides cannot match.</w:t>
      </w:r>
    </w:p>
    <w:p>
      <w:pPr>
        <w:pStyle w:val="ListParagraph"/>
        <w:numPr>
          <w:ilvl w:val="0"/>
          <w:numId w:val="5"/>
        </w:numPr>
        <w:spacing w:after="80"/>
      </w:pPr>
      <w:r>
        <w:rPr>
          <w:rFonts w:ascii="Arial" w:cs="Arial" w:eastAsia="Arial" w:hAnsi="Arial"/>
          <w:b/>
          <w:bCs/>
          <w:sz w:val="22"/>
          <w:szCs w:val="22"/>
        </w:rPr>
        <w:t xml:space="preserve">Three scenarios (2–3 pages). </w:t>
      </w:r>
      <w:r>
        <w:rPr>
          <w:rFonts w:ascii="Arial" w:cs="Arial" w:eastAsia="Arial" w:hAnsi="Arial"/>
          <w:sz w:val="22"/>
          <w:szCs w:val="22"/>
        </w:rPr>
        <w:t xml:space="preserve">Low friction, medium friction, and high friction scenarios for this sector over the next 12–18 months. Each scenario includes specific implications and recommended actions. This makes the briefing feel forward-looking rather than merely descriptive.</w:t>
      </w:r>
    </w:p>
    <w:p>
      <w:pPr>
        <w:pStyle w:val="ListParagraph"/>
        <w:numPr>
          <w:ilvl w:val="0"/>
          <w:numId w:val="5"/>
        </w:numPr>
        <w:spacing w:after="80"/>
      </w:pPr>
      <w:r>
        <w:rPr>
          <w:rFonts w:ascii="Arial" w:cs="Arial" w:eastAsia="Arial" w:hAnsi="Arial"/>
          <w:b/>
          <w:bCs/>
          <w:sz w:val="22"/>
          <w:szCs w:val="22"/>
        </w:rPr>
        <w:t xml:space="preserve">Action checklist (1–2 pages). </w:t>
      </w:r>
      <w:r>
        <w:rPr>
          <w:rFonts w:ascii="Arial" w:cs="Arial" w:eastAsia="Arial" w:hAnsi="Arial"/>
          <w:sz w:val="22"/>
          <w:szCs w:val="22"/>
        </w:rPr>
        <w:t xml:space="preserve">Ten to fifteen specific actions a business leader in this sector should take in the next 90 days. Practical, numbered, and prioritised.</w:t>
      </w:r>
    </w:p>
    <w:p>
      <w:pPr>
        <w:spacing w:after="160"/>
      </w:pPr>
      <w:r>
        <w:rPr>
          <w:rFonts w:ascii="Arial" w:cs="Arial" w:eastAsia="Arial" w:hAnsi="Arial"/>
          <w:sz w:val="22"/>
          <w:szCs w:val="22"/>
        </w:rPr>
        <w:t xml:space="preserve">Total length: 15–20 pages. Price: £39 per briefing, or offer a bundle of three for £99 (which encourages catalogue purchases and increases average order value).</w:t>
      </w:r>
    </w:p>
    <w:p>
      <w:pPr>
        <w:pStyle w:val="Heading2"/>
        <w:spacing w:before="240" w:after="120"/>
      </w:pPr>
      <w:r>
        <w:rPr>
          <w:rFonts w:ascii="Arial" w:cs="Arial" w:eastAsia="Arial" w:hAnsi="Arial"/>
          <w:b/>
          <w:bCs/>
          <w:color w:val="1A5276"/>
          <w:sz w:val="26"/>
          <w:szCs w:val="26"/>
        </w:rPr>
        <w:t xml:space="preserve">Initial Briefing Titles and Production Order</w:t>
      </w:r>
    </w:p>
    <w:p>
      <w:pPr>
        <w:spacing w:after="160"/>
      </w:pPr>
      <w:r>
        <w:rPr>
          <w:rFonts w:ascii="Arial" w:cs="Arial" w:eastAsia="Arial" w:hAnsi="Arial"/>
          <w:sz w:val="22"/>
          <w:szCs w:val="22"/>
        </w:rPr>
        <w:t xml:space="preserve">Start with the sector you can write about most confidently, then expand:</w:t>
      </w:r>
    </w:p>
    <w:p>
      <w:pPr>
        <w:pStyle w:val="ListParagraph"/>
        <w:numPr>
          <w:ilvl w:val="0"/>
          <w:numId w:val="6"/>
        </w:numPr>
        <w:spacing w:after="80"/>
      </w:pPr>
      <w:r>
        <w:rPr>
          <w:rFonts w:ascii="Arial" w:cs="Arial" w:eastAsia="Arial" w:hAnsi="Arial"/>
          <w:b/>
          <w:bCs/>
          <w:sz w:val="22"/>
          <w:szCs w:val="22"/>
        </w:rPr>
        <w:t xml:space="preserve">Briefing 1: AI and European Manufacturing. </w:t>
      </w:r>
      <w:r>
        <w:rPr>
          <w:rFonts w:ascii="Arial" w:cs="Arial" w:eastAsia="Arial" w:hAnsi="Arial"/>
          <w:sz w:val="22"/>
          <w:szCs w:val="22"/>
        </w:rPr>
        <w:t xml:space="preserve">This is likely your strongest sector given your industrial background. Production time: one week for the first briefing (subsequent ones will be faster as you refine the template). Publish alongside a YouTube video on the same topic for maximum cross-promotion.</w:t>
      </w:r>
    </w:p>
    <w:p>
      <w:pPr>
        <w:pStyle w:val="ListParagraph"/>
        <w:numPr>
          <w:ilvl w:val="0"/>
          <w:numId w:val="6"/>
        </w:numPr>
        <w:spacing w:after="80"/>
      </w:pPr>
      <w:r>
        <w:rPr>
          <w:rFonts w:ascii="Arial" w:cs="Arial" w:eastAsia="Arial" w:hAnsi="Arial"/>
          <w:b/>
          <w:bCs/>
          <w:sz w:val="22"/>
          <w:szCs w:val="22"/>
        </w:rPr>
        <w:t xml:space="preserve">Briefing 2: AI in Financial Services. </w:t>
      </w:r>
      <w:r>
        <w:rPr>
          <w:rFonts w:ascii="Arial" w:cs="Arial" w:eastAsia="Arial" w:hAnsi="Arial"/>
          <w:sz w:val="22"/>
          <w:szCs w:val="22"/>
        </w:rPr>
        <w:t xml:space="preserve">High regulatory awareness in this sector means buyers are already predisposed to purchasing compliance-related content. Production time: four to five days.</w:t>
      </w:r>
    </w:p>
    <w:p>
      <w:pPr>
        <w:pStyle w:val="ListParagraph"/>
        <w:numPr>
          <w:ilvl w:val="0"/>
          <w:numId w:val="6"/>
        </w:numPr>
        <w:spacing w:after="80"/>
      </w:pPr>
      <w:r>
        <w:rPr>
          <w:rFonts w:ascii="Arial" w:cs="Arial" w:eastAsia="Arial" w:hAnsi="Arial"/>
          <w:b/>
          <w:bCs/>
          <w:sz w:val="22"/>
          <w:szCs w:val="22"/>
        </w:rPr>
        <w:t xml:space="preserve">Briefing 3: AI for Professional Services. </w:t>
      </w:r>
      <w:r>
        <w:rPr>
          <w:rFonts w:ascii="Arial" w:cs="Arial" w:eastAsia="Arial" w:hAnsi="Arial"/>
          <w:sz w:val="22"/>
          <w:szCs w:val="22"/>
        </w:rPr>
        <w:t xml:space="preserve">Law firms, consultancies, and accountancies are heavy AI adopters with significant compliance exposure. They are also the most likely to become consulting clients. Production time: four to five days.</w:t>
      </w:r>
    </w:p>
    <w:p>
      <w:pPr>
        <w:pStyle w:val="ListParagraph"/>
        <w:numPr>
          <w:ilvl w:val="0"/>
          <w:numId w:val="6"/>
        </w:numPr>
        <w:spacing w:after="80"/>
      </w:pPr>
      <w:r>
        <w:rPr>
          <w:rFonts w:ascii="Arial" w:cs="Arial" w:eastAsia="Arial" w:hAnsi="Arial"/>
          <w:b/>
          <w:bCs/>
          <w:sz w:val="22"/>
          <w:szCs w:val="22"/>
        </w:rPr>
        <w:t xml:space="preserve">Briefing 4: AI and the Public Sector. </w:t>
      </w:r>
      <w:r>
        <w:rPr>
          <w:rFonts w:ascii="Arial" w:cs="Arial" w:eastAsia="Arial" w:hAnsi="Arial"/>
          <w:sz w:val="22"/>
          <w:szCs w:val="22"/>
        </w:rPr>
        <w:t xml:space="preserve">Government and public bodies have unique procurement and governance requirements. Slightly different audience but high institutional purchasing volume. Production time: five to six days.</w:t>
      </w:r>
    </w:p>
    <w:p>
      <w:pPr>
        <w:spacing w:after="160"/>
      </w:pPr>
      <w:r>
        <w:rPr>
          <w:rFonts w:ascii="Arial" w:cs="Arial" w:eastAsia="Arial" w:hAnsi="Arial"/>
          <w:sz w:val="22"/>
          <w:szCs w:val="22"/>
        </w:rPr>
        <w:t xml:space="preserve">Aim to publish one new briefing every four to six weeks in the first year, building a catalogue of eight to ten titles. The catalogue effect is powerful: each new briefing makes the bundle more attractive, and older briefings continue to sell as new viewers discover your content.</w:t>
      </w:r>
    </w:p>
    <w:p>
      <w:r>
        <w:br w:type="page"/>
      </w:r>
    </w:p>
    <w:p>
      <w:pPr>
        <w:pStyle w:val="Heading1"/>
        <w:spacing w:before="360" w:after="120"/>
      </w:pPr>
      <w:r>
        <w:rPr>
          <w:rFonts w:ascii="Arial" w:cs="Arial" w:eastAsia="Arial" w:hAnsi="Arial"/>
          <w:b/>
          <w:bCs/>
          <w:color w:val="1A5276"/>
          <w:sz w:val="32"/>
          <w:szCs w:val="32"/>
        </w:rPr>
        <w:t xml:space="preserve">Product Design: The AI Audit Checklist Pack</w:t>
      </w:r>
    </w:p>
    <w:p>
      <w:pPr>
        <w:spacing w:after="160"/>
      </w:pPr>
      <w:r>
        <w:rPr>
          <w:rFonts w:ascii="Arial" w:cs="Arial" w:eastAsia="Arial" w:hAnsi="Arial"/>
          <w:sz w:val="22"/>
          <w:szCs w:val="22"/>
        </w:rPr>
        <w:t xml:space="preserve">This is your lowest-priced product and serves three strategic purposes: it captures buyers who are not yet ready to invest in the full Compliance Toolkit, it acts as a gateway product (buyers who complete the audit and discover gaps naturally want the detailed toolkit), and it is the fastest product to build, meaning you can have it ready for sale within your first week.</w:t>
      </w:r>
    </w:p>
    <w:p>
      <w:pPr>
        <w:pStyle w:val="Heading2"/>
        <w:spacing w:before="240" w:after="120"/>
      </w:pPr>
      <w:r>
        <w:rPr>
          <w:rFonts w:ascii="Arial" w:cs="Arial" w:eastAsia="Arial" w:hAnsi="Arial"/>
          <w:b/>
          <w:bCs/>
          <w:color w:val="1A5276"/>
          <w:sz w:val="26"/>
          <w:szCs w:val="26"/>
        </w:rPr>
        <w:t xml:space="preserve">What It Contains</w:t>
      </w:r>
    </w:p>
    <w:p>
      <w:pPr>
        <w:pStyle w:val="ListParagraph"/>
        <w:numPr>
          <w:ilvl w:val="0"/>
          <w:numId w:val="7"/>
        </w:numPr>
        <w:spacing w:after="80"/>
      </w:pPr>
      <w:r>
        <w:rPr>
          <w:rFonts w:ascii="Arial" w:cs="Arial" w:eastAsia="Arial" w:hAnsi="Arial"/>
          <w:b/>
          <w:bCs/>
          <w:sz w:val="22"/>
          <w:szCs w:val="22"/>
        </w:rPr>
        <w:t xml:space="preserve">AI Systems Inventory Template (Excel): </w:t>
      </w:r>
      <w:r>
        <w:rPr>
          <w:rFonts w:ascii="Arial" w:cs="Arial" w:eastAsia="Arial" w:hAnsi="Arial"/>
          <w:sz w:val="22"/>
          <w:szCs w:val="22"/>
        </w:rPr>
        <w:t xml:space="preserve">A structured spreadsheet for cataloguing every AI tool and system in use across the organisation. Columns: System Name, Vendor, Country of Vendor HQ, Department, Primary Use Case, Data Inputs (what data does it consume?), Data Outputs (what decisions or content does it produce?), User Count, Annual Cost, Contract End Date, Data Storage Location, and Risk Classification (to be completed after using the decision tree). Include ten example rows showing common business AI tools — ChatGPT for drafting, Copilot for code, an AI-powered CRM, automated invoice processing, and so on. Conditional formatting highlights non-EU data storage in amber and non-EU vendor HQ in amber.</w:t>
      </w:r>
    </w:p>
    <w:p>
      <w:pPr>
        <w:pStyle w:val="ListParagraph"/>
        <w:numPr>
          <w:ilvl w:val="0"/>
          <w:numId w:val="7"/>
        </w:numPr>
        <w:spacing w:after="80"/>
      </w:pPr>
      <w:r>
        <w:rPr>
          <w:rFonts w:ascii="Arial" w:cs="Arial" w:eastAsia="Arial" w:hAnsi="Arial"/>
          <w:b/>
          <w:bCs/>
          <w:sz w:val="22"/>
          <w:szCs w:val="22"/>
        </w:rPr>
        <w:t xml:space="preserve">Vendor Dependency Scorecard (Excel): </w:t>
      </w:r>
      <w:r>
        <w:rPr>
          <w:rFonts w:ascii="Arial" w:cs="Arial" w:eastAsia="Arial" w:hAnsi="Arial"/>
          <w:sz w:val="22"/>
          <w:szCs w:val="22"/>
        </w:rPr>
        <w:t xml:space="preserve">A scoring matrix with five dimensions: Data Sovereignty (where is data processed and stored?), Contractual Lock-in (how difficult is it to switch?), Regulatory Risk (is this vendor likely to be affected by EU regulations?), Concentration Risk (how many critical workflows depend on this single vendor?), and Alternative Availability (do European or open-source alternatives exist?). Each dimension scored 1–5. A summary dashboard tab auto-calculates an overall dependency score per vendor and flags high-risk dependencies.</w:t>
      </w:r>
    </w:p>
    <w:p>
      <w:pPr>
        <w:pStyle w:val="ListParagraph"/>
        <w:numPr>
          <w:ilvl w:val="0"/>
          <w:numId w:val="7"/>
        </w:numPr>
        <w:spacing w:after="80"/>
      </w:pPr>
      <w:r>
        <w:rPr>
          <w:rFonts w:ascii="Arial" w:cs="Arial" w:eastAsia="Arial" w:hAnsi="Arial"/>
          <w:b/>
          <w:bCs/>
          <w:sz w:val="22"/>
          <w:szCs w:val="22"/>
        </w:rPr>
        <w:t xml:space="preserve">Quick Compliance Gap Analysis (PDF, 4–5 pages): </w:t>
      </w:r>
      <w:r>
        <w:rPr>
          <w:rFonts w:ascii="Arial" w:cs="Arial" w:eastAsia="Arial" w:hAnsi="Arial"/>
          <w:sz w:val="22"/>
          <w:szCs w:val="22"/>
        </w:rPr>
        <w:t xml:space="preserve">A twenty-question self-assessment questionnaire. Each question addresses a specific AI Act requirement. For each question, the reader selects Yes, No, or Unsure. The scoring guide at the end categorises their readiness as Green (broadly compliant), Amber (significant gaps to address), or Red (substantial work required). This is deliberately designed to create a sense of productive urgency — most businesses will score Amber or Red, which motivates them to purchase the full Compliance Toolkit.</w:t>
      </w:r>
    </w:p>
    <w:p>
      <w:pPr>
        <w:pStyle w:val="ListParagraph"/>
        <w:numPr>
          <w:ilvl w:val="0"/>
          <w:numId w:val="7"/>
        </w:numPr>
        <w:spacing w:after="80"/>
      </w:pPr>
      <w:r>
        <w:rPr>
          <w:rFonts w:ascii="Arial" w:cs="Arial" w:eastAsia="Arial" w:hAnsi="Arial"/>
          <w:b/>
          <w:bCs/>
          <w:sz w:val="22"/>
          <w:szCs w:val="22"/>
        </w:rPr>
        <w:t xml:space="preserve">One-Page AI Risk Summary Template (PDF): </w:t>
      </w:r>
      <w:r>
        <w:rPr>
          <w:rFonts w:ascii="Arial" w:cs="Arial" w:eastAsia="Arial" w:hAnsi="Arial"/>
          <w:sz w:val="22"/>
          <w:szCs w:val="22"/>
        </w:rPr>
        <w:t xml:space="preserve">A template for presenting AI risk findings to a board or leadership team. Pre-formatted with sections for: number of AI systems in use, risk classification breakdown, top three compliance gaps, top three vendor dependency risks, and recommended immediate actions. Designed to be completed after using the other tools in the pack and presented at the next board meeting.</w:t>
      </w:r>
    </w:p>
    <w:p>
      <w:pPr>
        <w:pStyle w:val="Heading2"/>
        <w:spacing w:before="240" w:after="120"/>
      </w:pPr>
      <w:r>
        <w:rPr>
          <w:rFonts w:ascii="Arial" w:cs="Arial" w:eastAsia="Arial" w:hAnsi="Arial"/>
          <w:b/>
          <w:bCs/>
          <w:color w:val="1A5276"/>
          <w:sz w:val="26"/>
          <w:szCs w:val="26"/>
        </w:rPr>
        <w:t xml:space="preserve">Pricing and Positioning</w:t>
      </w:r>
    </w:p>
    <w:p>
      <w:pPr>
        <w:spacing w:after="160"/>
      </w:pPr>
      <w:r>
        <w:rPr>
          <w:rFonts w:ascii="Arial" w:cs="Arial" w:eastAsia="Arial" w:hAnsi="Arial"/>
          <w:sz w:val="22"/>
          <w:szCs w:val="22"/>
        </w:rPr>
        <w:t xml:space="preserve">Price: £24. This is deliberately positioned as an impulse purchase for a professional. It is less than a business book. The pack should be visually attractive and feel substantial despite the low price — professionally designed PDFs with your branding, well-formatted spreadsheets with clear instructions on each tab.</w:t>
      </w:r>
    </w:p>
    <w:p>
      <w:pPr>
        <w:spacing w:after="160"/>
      </w:pPr>
      <w:r>
        <w:rPr>
          <w:rFonts w:ascii="Arial" w:cs="Arial" w:eastAsia="Arial" w:hAnsi="Arial"/>
          <w:sz w:val="22"/>
          <w:szCs w:val="22"/>
        </w:rPr>
        <w:t xml:space="preserve">In every piece of content about the Checklist Pack, mention that buyers receive a £20 discount code for the full Compliance Toolkit. This creates a natural upgrade path: £24 for the audit, discover you have gaps, spend £59 (discounted from £79) for the toolkit to address them. The effective revenue per customer who upgrades is £83, and you have acquired them with a very low initial commitment.</w:t>
      </w:r>
    </w:p>
    <w:p>
      <w:r>
        <w:br w:type="page"/>
      </w:r>
    </w:p>
    <w:p>
      <w:pPr>
        <w:spacing w:after="80"/>
      </w:pPr>
      <w:r>
        <w:rPr>
          <w:rFonts w:ascii="Arial" w:cs="Arial" w:eastAsia="Arial" w:hAnsi="Arial"/>
          <w:caps/>
          <w:color w:val="999999"/>
          <w:sz w:val="20"/>
          <w:szCs w:val="20"/>
        </w:rPr>
        <w:t xml:space="preserve">SECTION THREE</w:t>
      </w:r>
    </w:p>
    <w:p>
      <w:pPr>
        <w:pStyle w:val="Heading1"/>
        <w:spacing w:before="360" w:after="120"/>
      </w:pPr>
      <w:r>
        <w:rPr>
          <w:rFonts w:ascii="Arial" w:cs="Arial" w:eastAsia="Arial" w:hAnsi="Arial"/>
          <w:b/>
          <w:bCs/>
          <w:color w:val="1A5276"/>
          <w:sz w:val="32"/>
          <w:szCs w:val="32"/>
        </w:rPr>
        <w:t xml:space="preserve">Building a Consulting Practice From Zero Visibility</w:t>
      </w:r>
    </w:p>
    <w:p>
      <w:pPr>
        <w:spacing w:after="160"/>
      </w:pPr>
      <w:r>
        <w:rPr>
          <w:rFonts w:ascii="Arial" w:cs="Arial" w:eastAsia="Arial" w:hAnsi="Arial"/>
          <w:sz w:val="22"/>
          <w:szCs w:val="22"/>
        </w:rPr>
        <w:t xml:space="preserve">Without an existing network, your consulting clients will come from one of four sources: inbound from your content (YouTube, newsletter, LinkedIn), inbound from your digital products (buyers who want more help), cold outreach that is warmed by your content, or referrals from early clients. The first two are the most important and the most scalable. Here is how to make each work.</w:t>
      </w:r>
    </w:p>
    <w:p>
      <w:pPr>
        <w:pStyle w:val="Heading2"/>
        <w:spacing w:before="240" w:after="120"/>
      </w:pPr>
      <w:r>
        <w:rPr>
          <w:rFonts w:ascii="Arial" w:cs="Arial" w:eastAsia="Arial" w:hAnsi="Arial"/>
          <w:b/>
          <w:bCs/>
          <w:color w:val="1A5276"/>
          <w:sz w:val="26"/>
          <w:szCs w:val="26"/>
        </w:rPr>
        <w:t xml:space="preserve">Content as Your Sales Team</w:t>
      </w:r>
    </w:p>
    <w:p>
      <w:pPr>
        <w:spacing w:after="160"/>
      </w:pPr>
      <w:r>
        <w:rPr>
          <w:rFonts w:ascii="Arial" w:cs="Arial" w:eastAsia="Arial" w:hAnsi="Arial"/>
          <w:sz w:val="22"/>
          <w:szCs w:val="22"/>
        </w:rPr>
        <w:t xml:space="preserve">Every YouTube video and newsletter edition is a consulting pitch that does not look like a pitch. When a compliance officer watches your 15-minute video on the AI Act and thinks “this person really understands this”, they are pre-sold. The only thing missing is the mechanism for them to engage you. This mechanism must be visible but never pushy.</w:t>
      </w:r>
    </w:p>
    <w:p>
      <w:pPr>
        <w:pStyle w:val="ListParagraph"/>
        <w:numPr>
          <w:ilvl w:val="0"/>
          <w:numId w:val="8"/>
        </w:numPr>
        <w:spacing w:after="80"/>
      </w:pPr>
      <w:r>
        <w:rPr>
          <w:rFonts w:ascii="Arial" w:cs="Arial" w:eastAsia="Arial" w:hAnsi="Arial"/>
          <w:b/>
          <w:bCs/>
          <w:sz w:val="22"/>
          <w:szCs w:val="22"/>
        </w:rPr>
        <w:t xml:space="preserve">YouTube video descriptions: </w:t>
      </w:r>
      <w:r>
        <w:rPr>
          <w:rFonts w:ascii="Arial" w:cs="Arial" w:eastAsia="Arial" w:hAnsi="Arial"/>
          <w:sz w:val="22"/>
          <w:szCs w:val="22"/>
        </w:rPr>
        <w:t xml:space="preserve">Every video description should include, below the fold, a section that reads: “Work with me: I offer AI readiness assessments and strategic briefings for European businesses navigating AI regulation and digital sovereignty. Details at [your website/booking page].” This is not a call to action in the video itself — it is simply present for anyone who looks.</w:t>
      </w:r>
    </w:p>
    <w:p>
      <w:pPr>
        <w:pStyle w:val="ListParagraph"/>
        <w:numPr>
          <w:ilvl w:val="0"/>
          <w:numId w:val="8"/>
        </w:numPr>
        <w:spacing w:after="80"/>
      </w:pPr>
      <w:r>
        <w:rPr>
          <w:rFonts w:ascii="Arial" w:cs="Arial" w:eastAsia="Arial" w:hAnsi="Arial"/>
          <w:b/>
          <w:bCs/>
          <w:sz w:val="22"/>
          <w:szCs w:val="22"/>
        </w:rPr>
        <w:t xml:space="preserve">Newsletter footer: </w:t>
      </w:r>
      <w:r>
        <w:rPr>
          <w:rFonts w:ascii="Arial" w:cs="Arial" w:eastAsia="Arial" w:hAnsi="Arial"/>
          <w:sz w:val="22"/>
          <w:szCs w:val="22"/>
        </w:rPr>
        <w:t xml:space="preserve">Every newsletter edition includes a standing footer section: “Need help applying this to your specific situation? I work with a small number of organisations on AI strategy, compliance readiness, and digital sovereignty assessments. Reply to this email to start a conversation.” The “reply to this email” approach feels personal and low-friction, and it means the first touchpoint is a conversation, not a sales form.</w:t>
      </w:r>
    </w:p>
    <w:p>
      <w:pPr>
        <w:pStyle w:val="ListParagraph"/>
        <w:numPr>
          <w:ilvl w:val="0"/>
          <w:numId w:val="8"/>
        </w:numPr>
        <w:spacing w:after="80"/>
      </w:pPr>
      <w:r>
        <w:rPr>
          <w:rFonts w:ascii="Arial" w:cs="Arial" w:eastAsia="Arial" w:hAnsi="Arial"/>
          <w:b/>
          <w:bCs/>
          <w:sz w:val="22"/>
          <w:szCs w:val="22"/>
        </w:rPr>
        <w:t xml:space="preserve">Website services page: </w:t>
      </w:r>
      <w:r>
        <w:rPr>
          <w:rFonts w:ascii="Arial" w:cs="Arial" w:eastAsia="Arial" w:hAnsi="Arial"/>
          <w:sz w:val="22"/>
          <w:szCs w:val="22"/>
        </w:rPr>
        <w:t xml:space="preserve">A clear, simple page describing your three service tiers (Assessment, Briefing, Retainer) with pricing and a booking link. Use Calendly or Cal.com for scheduling a free 20-minute introductory call. This removes friction — the prospect can book time with you without sending an email and waiting for a reply.</w:t>
      </w:r>
    </w:p>
    <w:p>
      <w:pPr>
        <w:pStyle w:val="Heading2"/>
        <w:spacing w:before="240" w:after="120"/>
      </w:pPr>
      <w:r>
        <w:rPr>
          <w:rFonts w:ascii="Arial" w:cs="Arial" w:eastAsia="Arial" w:hAnsi="Arial"/>
          <w:b/>
          <w:bCs/>
          <w:color w:val="1A5276"/>
          <w:sz w:val="26"/>
          <w:szCs w:val="26"/>
        </w:rPr>
        <w:t xml:space="preserve">LinkedIn as a Client Acquisition Channel</w:t>
      </w:r>
    </w:p>
    <w:p>
      <w:pPr>
        <w:spacing w:after="160"/>
      </w:pPr>
      <w:r>
        <w:rPr>
          <w:rFonts w:ascii="Arial" w:cs="Arial" w:eastAsia="Arial" w:hAnsi="Arial"/>
          <w:sz w:val="22"/>
          <w:szCs w:val="22"/>
        </w:rPr>
        <w:t xml:space="preserve">Without an existing network, LinkedIn becomes your most important professional platform outside YouTube. It is where your target clients (senior European professionals in industry, compliance, and operations) already spend time. Your LinkedIn strategy should be distinct from your YouTube content — it is shorter, more conversational, and explicitly professional.</w:t>
      </w:r>
    </w:p>
    <w:p>
      <w:pPr>
        <w:pStyle w:val="ListParagraph"/>
        <w:numPr>
          <w:ilvl w:val="0"/>
          <w:numId w:val="9"/>
        </w:numPr>
        <w:spacing w:after="80"/>
      </w:pPr>
      <w:r>
        <w:rPr>
          <w:rFonts w:ascii="Arial" w:cs="Arial" w:eastAsia="Arial" w:hAnsi="Arial"/>
          <w:b/>
          <w:bCs/>
          <w:sz w:val="22"/>
          <w:szCs w:val="22"/>
        </w:rPr>
        <w:t xml:space="preserve">Post three to four times per week. </w:t>
      </w:r>
      <w:r>
        <w:rPr>
          <w:rFonts w:ascii="Arial" w:cs="Arial" w:eastAsia="Arial" w:hAnsi="Arial"/>
          <w:sz w:val="22"/>
          <w:szCs w:val="22"/>
        </w:rPr>
        <w:t xml:space="preserve">Short, opinion-driven posts (150–300 words) that offer a single insight. For example: “I reviewed the AI Act’s high-risk classification criteria against the AI systems a typical mid-sized manufacturer uses. Seven out of twelve would need formal compliance documentation. Most manufacturers I speak to have started on zero. Here’s what the first 90 days should look like...” These posts demonstrate expertise to people who will never watch a YouTube video.</w:t>
      </w:r>
    </w:p>
    <w:p>
      <w:pPr>
        <w:pStyle w:val="ListParagraph"/>
        <w:numPr>
          <w:ilvl w:val="0"/>
          <w:numId w:val="9"/>
        </w:numPr>
        <w:spacing w:after="80"/>
      </w:pPr>
      <w:r>
        <w:rPr>
          <w:rFonts w:ascii="Arial" w:cs="Arial" w:eastAsia="Arial" w:hAnsi="Arial"/>
          <w:b/>
          <w:bCs/>
          <w:sz w:val="22"/>
          <w:szCs w:val="22"/>
        </w:rPr>
        <w:t xml:space="preserve">Repurpose YouTube content. </w:t>
      </w:r>
      <w:r>
        <w:rPr>
          <w:rFonts w:ascii="Arial" w:cs="Arial" w:eastAsia="Arial" w:hAnsi="Arial"/>
          <w:sz w:val="22"/>
          <w:szCs w:val="22"/>
        </w:rPr>
        <w:t xml:space="preserve">Take one key insight from each YouTube video and turn it into a LinkedIn post. This is not duplication — it is adaptation for a different audience format. Link to the full video for those who want depth.</w:t>
      </w:r>
    </w:p>
    <w:p>
      <w:pPr>
        <w:pStyle w:val="ListParagraph"/>
        <w:numPr>
          <w:ilvl w:val="0"/>
          <w:numId w:val="9"/>
        </w:numPr>
        <w:spacing w:after="80"/>
      </w:pPr>
      <w:r>
        <w:rPr>
          <w:rFonts w:ascii="Arial" w:cs="Arial" w:eastAsia="Arial" w:hAnsi="Arial"/>
          <w:b/>
          <w:bCs/>
          <w:sz w:val="22"/>
          <w:szCs w:val="22"/>
        </w:rPr>
        <w:t xml:space="preserve">Comment thoughtfully on others’ posts. </w:t>
      </w:r>
      <w:r>
        <w:rPr>
          <w:rFonts w:ascii="Arial" w:cs="Arial" w:eastAsia="Arial" w:hAnsi="Arial"/>
          <w:sz w:val="22"/>
          <w:szCs w:val="22"/>
        </w:rPr>
        <w:t xml:space="preserve">Find and follow people who post about AI regulation, European tech policy, semiconductor supply chains, and digital sovereignty. Leave substantive comments (three to five sentences, not “great post!”) that demonstrate your analytical perspective. This puts you in front of their audiences without any advertising spend.</w:t>
      </w:r>
    </w:p>
    <w:p>
      <w:pPr>
        <w:pStyle w:val="ListParagraph"/>
        <w:numPr>
          <w:ilvl w:val="0"/>
          <w:numId w:val="9"/>
        </w:numPr>
        <w:spacing w:after="80"/>
      </w:pPr>
      <w:r>
        <w:rPr>
          <w:rFonts w:ascii="Arial" w:cs="Arial" w:eastAsia="Arial" w:hAnsi="Arial"/>
          <w:b/>
          <w:bCs/>
          <w:sz w:val="22"/>
          <w:szCs w:val="22"/>
        </w:rPr>
        <w:t xml:space="preserve">Use LinkedIn articles for longer pieces. </w:t>
      </w:r>
      <w:r>
        <w:rPr>
          <w:rFonts w:ascii="Arial" w:cs="Arial" w:eastAsia="Arial" w:hAnsi="Arial"/>
          <w:sz w:val="22"/>
          <w:szCs w:val="22"/>
        </w:rPr>
        <w:t xml:space="preserve">Once a month, publish a full-length article on LinkedIn (1,000–1,500 words) on a topic aligned with your YouTube content. LinkedIn’s algorithm favours native content over external links, so this reaches people who would never click through to YouTube.</w:t>
      </w:r>
    </w:p>
    <w:p>
      <w:pPr>
        <w:pStyle w:val="ListParagraph"/>
        <w:numPr>
          <w:ilvl w:val="0"/>
          <w:numId w:val="9"/>
        </w:numPr>
        <w:spacing w:after="80"/>
      </w:pPr>
      <w:r>
        <w:rPr>
          <w:rFonts w:ascii="Arial" w:cs="Arial" w:eastAsia="Arial" w:hAnsi="Arial"/>
          <w:b/>
          <w:bCs/>
          <w:sz w:val="22"/>
          <w:szCs w:val="22"/>
        </w:rPr>
        <w:t xml:space="preserve">Connect strategically. </w:t>
      </w:r>
      <w:r>
        <w:rPr>
          <w:rFonts w:ascii="Arial" w:cs="Arial" w:eastAsia="Arial" w:hAnsi="Arial"/>
          <w:sz w:val="22"/>
          <w:szCs w:val="22"/>
        </w:rPr>
        <w:t xml:space="preserve">Send connection requests to people whose job titles match your ideal client profile: heads of operations, compliance officers, CTOs, and managing directors at European mid-market companies. Do not sell in the connection request. Simply say: “I write about AI regulation and digital sovereignty for European industry. Thought our work might overlap.” Let your content do the selling after they connect.</w:t>
      </w:r>
    </w:p>
    <w:p>
      <w:pPr>
        <w:pStyle w:val="Heading2"/>
        <w:spacing w:before="240" w:after="120"/>
      </w:pPr>
      <w:r>
        <w:rPr>
          <w:rFonts w:ascii="Arial" w:cs="Arial" w:eastAsia="Arial" w:hAnsi="Arial"/>
          <w:b/>
          <w:bCs/>
          <w:color w:val="1A5276"/>
          <w:sz w:val="26"/>
          <w:szCs w:val="26"/>
        </w:rPr>
        <w:t xml:space="preserve">The Warm Outreach Approach</w:t>
      </w:r>
    </w:p>
    <w:p>
      <w:pPr>
        <w:spacing w:after="160"/>
      </w:pPr>
      <w:r>
        <w:rPr>
          <w:rFonts w:ascii="Arial" w:cs="Arial" w:eastAsia="Arial" w:hAnsi="Arial"/>
          <w:sz w:val="22"/>
          <w:szCs w:val="22"/>
        </w:rPr>
        <w:t xml:space="preserve">Once you have six to eight weeks of content published, you can begin warm outreach — reaching out to potential clients who have already encountered your content. This is fundamentally different from cold outreach because you are not a stranger.</w:t>
      </w:r>
    </w:p>
    <w:p>
      <w:pPr>
        <w:pStyle w:val="ListParagraph"/>
        <w:numPr>
          <w:ilvl w:val="0"/>
          <w:numId w:val="10"/>
        </w:numPr>
        <w:spacing w:after="80"/>
      </w:pPr>
      <w:r>
        <w:rPr>
          <w:rFonts w:ascii="Arial" w:cs="Arial" w:eastAsia="Arial" w:hAnsi="Arial"/>
          <w:b/>
          <w:bCs/>
          <w:sz w:val="22"/>
          <w:szCs w:val="22"/>
        </w:rPr>
        <w:t xml:space="preserve">Identify engaged followers. </w:t>
      </w:r>
      <w:r>
        <w:rPr>
          <w:rFonts w:ascii="Arial" w:cs="Arial" w:eastAsia="Arial" w:hAnsi="Arial"/>
          <w:sz w:val="22"/>
          <w:szCs w:val="22"/>
        </w:rPr>
        <w:t xml:space="preserve">Look at who is liking, commenting on, or sharing your LinkedIn posts and YouTube videos. If they have a job title that suggests decision-making authority at a European business, they are a warm lead.</w:t>
      </w:r>
    </w:p>
    <w:p>
      <w:pPr>
        <w:pStyle w:val="ListParagraph"/>
        <w:numPr>
          <w:ilvl w:val="0"/>
          <w:numId w:val="10"/>
        </w:numPr>
        <w:spacing w:after="80"/>
      </w:pPr>
      <w:r>
        <w:rPr>
          <w:rFonts w:ascii="Arial" w:cs="Arial" w:eastAsia="Arial" w:hAnsi="Arial"/>
          <w:b/>
          <w:bCs/>
          <w:sz w:val="22"/>
          <w:szCs w:val="22"/>
        </w:rPr>
        <w:t xml:space="preserve">Send a personal message. </w:t>
      </w:r>
      <w:r>
        <w:rPr>
          <w:rFonts w:ascii="Arial" w:cs="Arial" w:eastAsia="Arial" w:hAnsi="Arial"/>
          <w:sz w:val="22"/>
          <w:szCs w:val="22"/>
        </w:rPr>
        <w:t xml:space="preserve">Not a sales pitch. Something like: “I noticed you’ve been engaging with my posts on AI Act compliance. I’m curious — is this something your organisation is actively working on? I’m always interested to hear how different businesses are approaching it.” This opens a conversation. If they respond with their challenges, you can naturally mention your assessment service.</w:t>
      </w:r>
    </w:p>
    <w:p>
      <w:pPr>
        <w:pStyle w:val="ListParagraph"/>
        <w:numPr>
          <w:ilvl w:val="0"/>
          <w:numId w:val="10"/>
        </w:numPr>
        <w:spacing w:after="80"/>
      </w:pPr>
      <w:r>
        <w:rPr>
          <w:rFonts w:ascii="Arial" w:cs="Arial" w:eastAsia="Arial" w:hAnsi="Arial"/>
          <w:b/>
          <w:bCs/>
          <w:sz w:val="22"/>
          <w:szCs w:val="22"/>
        </w:rPr>
        <w:t xml:space="preserve">Offer a free resource first. </w:t>
      </w:r>
      <w:r>
        <w:rPr>
          <w:rFonts w:ascii="Arial" w:cs="Arial" w:eastAsia="Arial" w:hAnsi="Arial"/>
          <w:sz w:val="22"/>
          <w:szCs w:val="22"/>
        </w:rPr>
        <w:t xml:space="preserve">If the conversation develops, offer to send them your Checklist Pack for free. This demonstrates generosity, gives them immediate practical value, and positions you as the expert they think of when they need more help.</w:t>
      </w:r>
    </w:p>
    <w:p>
      <w:pPr>
        <w:pStyle w:val="Heading2"/>
        <w:spacing w:before="240" w:after="120"/>
      </w:pPr>
      <w:r>
        <w:rPr>
          <w:rFonts w:ascii="Arial" w:cs="Arial" w:eastAsia="Arial" w:hAnsi="Arial"/>
          <w:b/>
          <w:bCs/>
          <w:color w:val="1A5276"/>
          <w:sz w:val="26"/>
          <w:szCs w:val="26"/>
        </w:rPr>
        <w:t xml:space="preserve">Product-to-Consulting Pipeline</w:t>
      </w:r>
    </w:p>
    <w:p>
      <w:pPr>
        <w:spacing w:after="160"/>
      </w:pPr>
      <w:r>
        <w:rPr>
          <w:rFonts w:ascii="Arial" w:cs="Arial" w:eastAsia="Arial" w:hAnsi="Arial"/>
          <w:sz w:val="22"/>
          <w:szCs w:val="22"/>
        </w:rPr>
        <w:t xml:space="preserve">Your digital products create a natural consulting pipeline. Someone buys the Checklist Pack for £24, completes the audit, discovers they have significant gaps, buys the Compliance Toolkit for £59, works through it, and realises they need expert guidance for their specific situation. At this point, they already trust your expertise and have spent £83 demonstrating their willingness to pay. The step from £83 in products to £750 for an Assessment is proportionate, and the step from Assessment to ongoing Retainer is natural if the assessment reveals complexity that requires sustained guidance.</w:t>
      </w:r>
    </w:p>
    <w:p>
      <w:pPr>
        <w:spacing w:after="160"/>
      </w:pPr>
      <w:r>
        <w:rPr>
          <w:rFonts w:ascii="Arial" w:cs="Arial" w:eastAsia="Arial" w:hAnsi="Arial"/>
          <w:sz w:val="22"/>
          <w:szCs w:val="22"/>
        </w:rPr>
        <w:t xml:space="preserve">To make this pipeline work, include a clear call to action in every digital product: “If you would like expert help applying this framework to your specific organisation, I offer AI Readiness Assessments. Visit [website] or reply to your purchase confirmation email to arrange an introductory call.”</w:t>
      </w:r>
    </w:p>
    <w:p>
      <w:pPr>
        <w:pStyle w:val="Heading2"/>
        <w:spacing w:before="240" w:after="120"/>
      </w:pPr>
      <w:r>
        <w:rPr>
          <w:rFonts w:ascii="Arial" w:cs="Arial" w:eastAsia="Arial" w:hAnsi="Arial"/>
          <w:b/>
          <w:bCs/>
          <w:color w:val="1A5276"/>
          <w:sz w:val="26"/>
          <w:szCs w:val="26"/>
        </w:rPr>
        <w:t xml:space="preserve">Realistic Consulting Timeline Without Network</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9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£0–£750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outreach, early content viewers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£750–£2,000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pipeline, product buyers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£2,000–£4,500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Inbound from growing audience</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10–12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£3,000–£6,000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Inbound + referrals from satisfied clients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13–18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£4,000–£8,000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Retainer clients + project work</w:t>
            </w:r>
          </w:p>
        </w:tc>
      </w:tr>
    </w:tbl>
    <w:p>
      <w:r>
        <w:br w:type="page"/>
      </w:r>
    </w:p>
    <w:p>
      <w:pPr>
        <w:spacing w:after="80"/>
      </w:pPr>
      <w:r>
        <w:rPr>
          <w:rFonts w:ascii="Arial" w:cs="Arial" w:eastAsia="Arial" w:hAnsi="Arial"/>
          <w:caps/>
          <w:color w:val="999999"/>
          <w:sz w:val="20"/>
          <w:szCs w:val="20"/>
        </w:rPr>
        <w:t xml:space="preserve">SECTION FOUR</w:t>
      </w:r>
    </w:p>
    <w:p>
      <w:pPr>
        <w:pStyle w:val="Heading1"/>
        <w:spacing w:before="360" w:after="120"/>
      </w:pPr>
      <w:r>
        <w:rPr>
          <w:rFonts w:ascii="Arial" w:cs="Arial" w:eastAsia="Arial" w:hAnsi="Arial"/>
          <w:b/>
          <w:bCs/>
          <w:color w:val="1A5276"/>
          <w:sz w:val="32"/>
          <w:szCs w:val="32"/>
        </w:rPr>
        <w:t xml:space="preserve">Newsletter Platform Comparison</w:t>
      </w:r>
    </w:p>
    <w:p>
      <w:pPr>
        <w:spacing w:after="160"/>
      </w:pPr>
      <w:r>
        <w:rPr>
          <w:rFonts w:ascii="Arial" w:cs="Arial" w:eastAsia="Arial" w:hAnsi="Arial"/>
          <w:sz w:val="22"/>
          <w:szCs w:val="22"/>
        </w:rPr>
        <w:t xml:space="preserve">The newsletter is your most important owned asset. Unlike YouTube subscribers (who are controlled by Google’s algorithm) or LinkedIn followers (who are controlled by LinkedIn’s algorithm), your email list belongs to you. If YouTube changes its recommendation algorithm tomorrow, your newsletter subscribers are unaffected. Choosing the right platform matters. Here is a detailed comparison of the three strongest options for your specific use case.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1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Substack</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Ghost</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Beehiiv</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(takes 10% of paid subscriptions)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£9–£25/month (self-hosted free)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up to 2,500 subs; £42/month after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 seamless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 seamless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 seamless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Discovery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 — Substack network, recommendations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 you drive all traffic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 — Beehiiv Boosts network</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Customisation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 — looks like Substack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Extensive — full control of design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 flexible templates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Audience ownership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 you can export anytime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 you own everything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 you can export anytime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 — Substack domain ranks well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 — your own domain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Referral programme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Requires add-on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 and sophisticated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and growth-focused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EU VAT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Handled by Substack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 manage (Stripe helps)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Handled by Beehiiv</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Writer-focused creators wanting built-in audience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Creators wanting full brand control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Growth-focused creators</w:t>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b/>
          <w:bCs/>
          <w:color w:val="1A5276"/>
          <w:sz w:val="26"/>
          <w:szCs w:val="26"/>
        </w:rPr>
        <w:t xml:space="preserve">Recommendation: Substack to Start, Ghost Later</w:t>
      </w:r>
    </w:p>
    <w:p>
      <w:pPr>
        <w:spacing w:after="160"/>
      </w:pPr>
      <w:r>
        <w:rPr>
          <w:rFonts w:ascii="Arial" w:cs="Arial" w:eastAsia="Arial" w:hAnsi="Arial"/>
          <w:sz w:val="22"/>
          <w:szCs w:val="22"/>
        </w:rPr>
        <w:t xml:space="preserve">For a cold start with no existing audience, Substack is the strongest choice. The Substack network provides built-in discovery — when established Substack authors in adjacent niches recommend your newsletter, their subscribers see it. This is genuinely valuable when you have no audience of your own. The 10% cut on paid subscriptions stings as revenue grows, but in the early months it costs you nothing because you have no paid subscribers, and the discovery benefit is worth the later commission.</w:t>
      </w:r>
    </w:p>
    <w:p>
      <w:pPr>
        <w:spacing w:after="160"/>
      </w:pPr>
      <w:r>
        <w:rPr>
          <w:rFonts w:ascii="Arial" w:cs="Arial" w:eastAsia="Arial" w:hAnsi="Arial"/>
          <w:sz w:val="22"/>
          <w:szCs w:val="22"/>
        </w:rPr>
        <w:t xml:space="preserve">The practical workflow is: launch on Substack, grow to 500–1,000 free subscribers and 50–100 paid subscribers, then evaluate whether to migrate to Ghost for full control and lower costs. Ghost eliminates the 10% commission (you pay a flat monthly fee instead) and gives you complete control over design, branding, and the reader experience. But it provides zero discovery — every subscriber must come from your own channels.</w:t>
      </w:r>
    </w:p>
    <w:p>
      <w:pPr>
        <w:spacing w:after="160"/>
      </w:pPr>
      <w:r>
        <w:rPr>
          <w:rFonts w:ascii="Arial" w:cs="Arial" w:eastAsia="Arial" w:hAnsi="Arial"/>
          <w:sz w:val="22"/>
          <w:szCs w:val="22"/>
        </w:rPr>
        <w:t xml:space="preserve">Beehiiv is a strong middle option if you want more growth tools than Substack but more simplicity than Ghost. Its referral programme and recommendation network are well-designed. However, it is less established than Substack in the European professional niche, which matters for discovery.</w:t>
      </w:r>
    </w:p>
    <w:p>
      <w:pPr>
        <w:pStyle w:val="Heading2"/>
        <w:spacing w:before="240" w:after="120"/>
      </w:pPr>
      <w:r>
        <w:rPr>
          <w:rFonts w:ascii="Arial" w:cs="Arial" w:eastAsia="Arial" w:hAnsi="Arial"/>
          <w:b/>
          <w:bCs/>
          <w:color w:val="1A5276"/>
          <w:sz w:val="26"/>
          <w:szCs w:val="26"/>
        </w:rPr>
        <w:t xml:space="preserve">Newsletter Content Strategy</w:t>
      </w:r>
    </w:p>
    <w:p>
      <w:pPr>
        <w:spacing w:after="160"/>
      </w:pPr>
      <w:r>
        <w:rPr>
          <w:rFonts w:ascii="Arial" w:cs="Arial" w:eastAsia="Arial" w:hAnsi="Arial"/>
          <w:sz w:val="22"/>
          <w:szCs w:val="22"/>
        </w:rPr>
        <w:t xml:space="preserve">Your newsletter is not a blog. It is not a transcript of your YouTube videos. It is a distinct product that delivers value in a different format. Here is the weekly structure:</w:t>
      </w:r>
    </w:p>
    <w:p>
      <w:pPr>
        <w:pStyle w:val="ListParagraph"/>
        <w:numPr>
          <w:ilvl w:val="0"/>
          <w:numId w:val="11"/>
        </w:numPr>
        <w:spacing w:after="80"/>
      </w:pPr>
      <w:r>
        <w:rPr>
          <w:rFonts w:ascii="Arial" w:cs="Arial" w:eastAsia="Arial" w:hAnsi="Arial"/>
          <w:b/>
          <w:bCs/>
          <w:sz w:val="22"/>
          <w:szCs w:val="22"/>
        </w:rPr>
        <w:t xml:space="preserve">The Lead (300–400 words): </w:t>
      </w:r>
      <w:r>
        <w:rPr>
          <w:rFonts w:ascii="Arial" w:cs="Arial" w:eastAsia="Arial" w:hAnsi="Arial"/>
          <w:sz w:val="22"/>
          <w:szCs w:val="22"/>
        </w:rPr>
        <w:t xml:space="preserve">One analytical insight on the week’s most significant development in AI regulation, semiconductor politics, or digital sovereignty. This should feel like the opening of a well-informed conversation with a smart colleague.</w:t>
      </w:r>
    </w:p>
    <w:p>
      <w:pPr>
        <w:pStyle w:val="ListParagraph"/>
        <w:numPr>
          <w:ilvl w:val="0"/>
          <w:numId w:val="11"/>
        </w:numPr>
        <w:spacing w:after="80"/>
      </w:pPr>
      <w:r>
        <w:rPr>
          <w:rFonts w:ascii="Arial" w:cs="Arial" w:eastAsia="Arial" w:hAnsi="Arial"/>
          <w:b/>
          <w:bCs/>
          <w:sz w:val="22"/>
          <w:szCs w:val="22"/>
        </w:rPr>
        <w:t xml:space="preserve">The Signal (200–300 words): </w:t>
      </w:r>
      <w:r>
        <w:rPr>
          <w:rFonts w:ascii="Arial" w:cs="Arial" w:eastAsia="Arial" w:hAnsi="Arial"/>
          <w:sz w:val="22"/>
          <w:szCs w:val="22"/>
        </w:rPr>
        <w:t xml:space="preserve">Three to five brief items that caught your attention this week, each with two to three sentences of your analysis explaining why they matter. These demonstrate the breadth of your monitoring without requiring deep treatment.</w:t>
      </w:r>
    </w:p>
    <w:p>
      <w:pPr>
        <w:pStyle w:val="ListParagraph"/>
        <w:numPr>
          <w:ilvl w:val="0"/>
          <w:numId w:val="11"/>
        </w:numPr>
        <w:spacing w:after="80"/>
      </w:pPr>
      <w:r>
        <w:rPr>
          <w:rFonts w:ascii="Arial" w:cs="Arial" w:eastAsia="Arial" w:hAnsi="Arial"/>
          <w:b/>
          <w:bCs/>
          <w:sz w:val="22"/>
          <w:szCs w:val="22"/>
        </w:rPr>
        <w:t xml:space="preserve">The Practical (200–300 words): </w:t>
      </w:r>
      <w:r>
        <w:rPr>
          <w:rFonts w:ascii="Arial" w:cs="Arial" w:eastAsia="Arial" w:hAnsi="Arial"/>
          <w:sz w:val="22"/>
          <w:szCs w:val="22"/>
        </w:rPr>
        <w:t xml:space="preserve">One specific, actionable recommendation. A tool to try, a document to read, a question to ask your IT department, a metric to start tracking. This section is what makes people open the email every week rather than letting it pile up.</w:t>
      </w:r>
    </w:p>
    <w:p>
      <w:pPr>
        <w:pStyle w:val="ListParagraph"/>
        <w:numPr>
          <w:ilvl w:val="0"/>
          <w:numId w:val="11"/>
        </w:numPr>
        <w:spacing w:after="80"/>
      </w:pPr>
      <w:r>
        <w:rPr>
          <w:rFonts w:ascii="Arial" w:cs="Arial" w:eastAsia="Arial" w:hAnsi="Arial"/>
          <w:b/>
          <w:bCs/>
          <w:sz w:val="22"/>
          <w:szCs w:val="22"/>
        </w:rPr>
        <w:t xml:space="preserve">The Video (50 words): </w:t>
      </w:r>
      <w:r>
        <w:rPr>
          <w:rFonts w:ascii="Arial" w:cs="Arial" w:eastAsia="Arial" w:hAnsi="Arial"/>
          <w:sz w:val="22"/>
          <w:szCs w:val="22"/>
        </w:rPr>
        <w:t xml:space="preserve">A brief pointer to this week’s YouTube video with a one-line summary of why it is worth watching. Not a transcript — a reason to click.</w:t>
      </w:r>
    </w:p>
    <w:p>
      <w:pPr>
        <w:spacing w:after="160"/>
      </w:pPr>
      <w:r>
        <w:rPr>
          <w:rFonts w:ascii="Arial" w:cs="Arial" w:eastAsia="Arial" w:hAnsi="Arial"/>
          <w:sz w:val="22"/>
          <w:szCs w:val="22"/>
        </w:rPr>
        <w:t xml:space="preserve">Total length: approximately 800–1,200 words. Readable in five to seven minutes. Send every Wednesday morning (mid-week, before people disengage for the weekend, and on a different day from your Tuesday YouTube upload so you have two touchpoints per week).</w:t>
      </w:r>
    </w:p>
    <w:p>
      <w:pPr>
        <w:pStyle w:val="Heading2"/>
        <w:spacing w:before="240" w:after="120"/>
      </w:pPr>
      <w:r>
        <w:rPr>
          <w:rFonts w:ascii="Arial" w:cs="Arial" w:eastAsia="Arial" w:hAnsi="Arial"/>
          <w:b/>
          <w:bCs/>
          <w:color w:val="1A5276"/>
          <w:sz w:val="26"/>
          <w:szCs w:val="26"/>
        </w:rPr>
        <w:t xml:space="preserve">Free vs Premium Content Split</w:t>
      </w:r>
    </w:p>
    <w:p>
      <w:pPr>
        <w:spacing w:after="160"/>
      </w:pPr>
      <w:r>
        <w:rPr>
          <w:rFonts w:ascii="Arial" w:cs="Arial" w:eastAsia="Arial" w:hAnsi="Arial"/>
          <w:sz w:val="22"/>
          <w:szCs w:val="22"/>
        </w:rPr>
        <w:t xml:space="preserve">The distinction between free and premium should feel like the difference between reading the news and having a private briefing. The free newsletter tells people what happened and why it matters. The premium newsletter tells people what to do about it and what is likely to happen next.</w:t>
      </w:r>
    </w:p>
    <w:p>
      <w:pPr>
        <w:pStyle w:val="ListParagraph"/>
        <w:numPr>
          <w:ilvl w:val="0"/>
          <w:numId w:val="12"/>
        </w:numPr>
        <w:spacing w:after="80"/>
      </w:pPr>
      <w:r>
        <w:rPr>
          <w:rFonts w:ascii="Arial" w:cs="Arial" w:eastAsia="Arial" w:hAnsi="Arial"/>
          <w:b/>
          <w:bCs/>
          <w:sz w:val="22"/>
          <w:szCs w:val="22"/>
        </w:rPr>
        <w:t xml:space="preserve">Free: </w:t>
      </w:r>
      <w:r>
        <w:rPr>
          <w:rFonts w:ascii="Arial" w:cs="Arial" w:eastAsia="Arial" w:hAnsi="Arial"/>
          <w:sz w:val="22"/>
          <w:szCs w:val="22"/>
        </w:rPr>
        <w:t xml:space="preserve">The Lead, The Signal, The Practical, The Video. This is genuinely valuable on its own and should never feel like a teaser for the paid version.</w:t>
      </w:r>
    </w:p>
    <w:p>
      <w:pPr>
        <w:pStyle w:val="ListParagraph"/>
        <w:numPr>
          <w:ilvl w:val="0"/>
          <w:numId w:val="12"/>
        </w:numPr>
        <w:spacing w:after="80"/>
      </w:pPr>
      <w:r>
        <w:rPr>
          <w:rFonts w:ascii="Arial" w:cs="Arial" w:eastAsia="Arial" w:hAnsi="Arial"/>
          <w:b/>
          <w:bCs/>
          <w:sz w:val="22"/>
          <w:szCs w:val="22"/>
        </w:rPr>
        <w:t xml:space="preserve">Premium additions: </w:t>
      </w:r>
      <w:r>
        <w:rPr>
          <w:rFonts w:ascii="Arial" w:cs="Arial" w:eastAsia="Arial" w:hAnsi="Arial"/>
          <w:sz w:val="22"/>
          <w:szCs w:val="22"/>
        </w:rPr>
        <w:t xml:space="preserve">Extended analysis on The Lead (the full 1,000-word treatment rather than 400 words), a monthly scenario assessment, early access to digital products, the quarterly live Q&amp;A, and access to the premium archive.</w:t>
      </w:r>
    </w:p>
    <w:p>
      <w:pPr>
        <w:spacing w:after="160"/>
      </w:pPr>
      <w:r>
        <w:rPr>
          <w:rFonts w:ascii="Arial" w:cs="Arial" w:eastAsia="Arial" w:hAnsi="Arial"/>
          <w:sz w:val="22"/>
          <w:szCs w:val="22"/>
        </w:rPr>
        <w:t xml:space="preserve">Once a month, give free subscribers a taste of premium content by sending the extended analysis to everyone. End it with: “This extended analysis is normally only available to premium subscribers. If you found it valuable, you can upgrade at [link].” This is the most effective conversion mechanism — showing people exactly what they are missing.</w:t>
      </w:r>
    </w:p>
    <w:p>
      <w:r>
        <w:br w:type="page"/>
      </w:r>
    </w:p>
    <w:p>
      <w:pPr>
        <w:spacing w:after="80"/>
      </w:pPr>
      <w:r>
        <w:rPr>
          <w:rFonts w:ascii="Arial" w:cs="Arial" w:eastAsia="Arial" w:hAnsi="Arial"/>
          <w:caps/>
          <w:color w:val="999999"/>
          <w:sz w:val="20"/>
          <w:szCs w:val="20"/>
        </w:rPr>
        <w:t xml:space="preserve">SECTION FIVE</w:t>
      </w:r>
    </w:p>
    <w:p>
      <w:pPr>
        <w:pStyle w:val="Heading1"/>
        <w:spacing w:before="360" w:after="120"/>
      </w:pPr>
      <w:r>
        <w:rPr>
          <w:rFonts w:ascii="Arial" w:cs="Arial" w:eastAsia="Arial" w:hAnsi="Arial"/>
          <w:b/>
          <w:bCs/>
          <w:color w:val="1A5276"/>
          <w:sz w:val="32"/>
          <w:szCs w:val="32"/>
        </w:rPr>
        <w:t xml:space="preserve">The Growth Engine: Building an Audience From Nothing</w:t>
      </w:r>
    </w:p>
    <w:p>
      <w:pPr>
        <w:spacing w:after="160"/>
      </w:pPr>
      <w:r>
        <w:rPr>
          <w:rFonts w:ascii="Arial" w:cs="Arial" w:eastAsia="Arial" w:hAnsi="Arial"/>
          <w:sz w:val="22"/>
          <w:szCs w:val="22"/>
        </w:rPr>
        <w:t xml:space="preserve">Without a network, your audience grows through three mechanisms: search discovery (people finding your content through YouTube search, Google search, and Substack discovery), algorithmic recommendation (YouTube suggesting your videos to viewers of similar content), and social amplification (people sharing your content within their professional networks). Each requires specific tactics.</w:t>
      </w:r>
    </w:p>
    <w:p>
      <w:pPr>
        <w:pStyle w:val="Heading2"/>
        <w:spacing w:before="240" w:after="120"/>
      </w:pPr>
      <w:r>
        <w:rPr>
          <w:rFonts w:ascii="Arial" w:cs="Arial" w:eastAsia="Arial" w:hAnsi="Arial"/>
          <w:b/>
          <w:bCs/>
          <w:color w:val="1A5276"/>
          <w:sz w:val="26"/>
          <w:szCs w:val="26"/>
        </w:rPr>
        <w:t xml:space="preserve">YouTube Search Optimisation</w:t>
      </w:r>
    </w:p>
    <w:p>
      <w:pPr>
        <w:spacing w:after="160"/>
      </w:pPr>
      <w:r>
        <w:rPr>
          <w:rFonts w:ascii="Arial" w:cs="Arial" w:eastAsia="Arial" w:hAnsi="Arial"/>
          <w:sz w:val="22"/>
          <w:szCs w:val="22"/>
        </w:rPr>
        <w:t xml:space="preserve">In your niche, search-driven discovery will likely be more important than algorithmic recommendation in the first six to twelve months. People are actively searching for terms like “EU AI Act explained,” “AI Act compliance,” “AI for business beginners,” and “digital sovereignty.” Your videos need to appear when they do.</w:t>
      </w:r>
    </w:p>
    <w:p>
      <w:pPr>
        <w:pStyle w:val="ListParagraph"/>
        <w:numPr>
          <w:ilvl w:val="0"/>
          <w:numId w:val="13"/>
        </w:numPr>
        <w:spacing w:after="80"/>
      </w:pPr>
      <w:r>
        <w:rPr>
          <w:rFonts w:ascii="Arial" w:cs="Arial" w:eastAsia="Arial" w:hAnsi="Arial"/>
          <w:b/>
          <w:bCs/>
          <w:sz w:val="22"/>
          <w:szCs w:val="22"/>
        </w:rPr>
        <w:t xml:space="preserve">Research search terms before scripting each video. </w:t>
      </w:r>
      <w:r>
        <w:rPr>
          <w:rFonts w:ascii="Arial" w:cs="Arial" w:eastAsia="Arial" w:hAnsi="Arial"/>
          <w:sz w:val="22"/>
          <w:szCs w:val="22"/>
        </w:rPr>
        <w:t xml:space="preserve">Use TubeBuddy or VidIQ (both have free tiers) to check search volume for potential title keywords. A video titled “EU AI Act Compliance Guide 2026” will get substantially more search traffic than “Navigating European Regulatory Frameworks for Artificial Intelligence.” Same content, different discoverability.</w:t>
      </w:r>
    </w:p>
    <w:p>
      <w:pPr>
        <w:pStyle w:val="ListParagraph"/>
        <w:numPr>
          <w:ilvl w:val="0"/>
          <w:numId w:val="13"/>
        </w:numPr>
        <w:spacing w:after="80"/>
      </w:pPr>
      <w:r>
        <w:rPr>
          <w:rFonts w:ascii="Arial" w:cs="Arial" w:eastAsia="Arial" w:hAnsi="Arial"/>
          <w:b/>
          <w:bCs/>
          <w:sz w:val="22"/>
          <w:szCs w:val="22"/>
        </w:rPr>
        <w:t xml:space="preserve">Front-load keywords in titles. </w:t>
      </w:r>
      <w:r>
        <w:rPr>
          <w:rFonts w:ascii="Arial" w:cs="Arial" w:eastAsia="Arial" w:hAnsi="Arial"/>
          <w:sz w:val="22"/>
          <w:szCs w:val="22"/>
        </w:rPr>
        <w:t xml:space="preserve">YouTube’s search algorithm weighs the first few words of the title most heavily. “AI Act Compliance: What European Businesses Must Do Before August 2026” is better than “What European Businesses Must Do Before August 2026 to Comply with the AI Act.”</w:t>
      </w:r>
    </w:p>
    <w:p>
      <w:pPr>
        <w:pStyle w:val="ListParagraph"/>
        <w:numPr>
          <w:ilvl w:val="0"/>
          <w:numId w:val="13"/>
        </w:numPr>
        <w:spacing w:after="80"/>
      </w:pPr>
      <w:r>
        <w:rPr>
          <w:rFonts w:ascii="Arial" w:cs="Arial" w:eastAsia="Arial" w:hAnsi="Arial"/>
          <w:b/>
          <w:bCs/>
          <w:sz w:val="22"/>
          <w:szCs w:val="22"/>
        </w:rPr>
        <w:t xml:space="preserve">Write detailed descriptions. </w:t>
      </w:r>
      <w:r>
        <w:rPr>
          <w:rFonts w:ascii="Arial" w:cs="Arial" w:eastAsia="Arial" w:hAnsi="Arial"/>
          <w:sz w:val="22"/>
          <w:szCs w:val="22"/>
        </w:rPr>
        <w:t xml:space="preserve">The first two lines appear in search results — make them count. Then write a full 200–300 word description that naturally includes your target search terms. Include timestamps for key sections. Include links to your newsletter, products, and other relevant videos.</w:t>
      </w:r>
    </w:p>
    <w:p>
      <w:pPr>
        <w:pStyle w:val="ListParagraph"/>
        <w:numPr>
          <w:ilvl w:val="0"/>
          <w:numId w:val="13"/>
        </w:numPr>
        <w:spacing w:after="80"/>
      </w:pPr>
      <w:r>
        <w:rPr>
          <w:rFonts w:ascii="Arial" w:cs="Arial" w:eastAsia="Arial" w:hAnsi="Arial"/>
          <w:b/>
          <w:bCs/>
          <w:sz w:val="22"/>
          <w:szCs w:val="22"/>
        </w:rPr>
        <w:t xml:space="preserve">Use tags strategically. </w:t>
      </w:r>
      <w:r>
        <w:rPr>
          <w:rFonts w:ascii="Arial" w:cs="Arial" w:eastAsia="Arial" w:hAnsi="Arial"/>
          <w:sz w:val="22"/>
          <w:szCs w:val="22"/>
        </w:rPr>
        <w:t xml:space="preserve">Include both broad tags (“AI regulation,” “European technology”) and specific tags (“EU AI Act 2026,” “AI compliance checklist,” “digital sovereignty Europe”). Look at what tags successful videos in adjacent niches use.</w:t>
      </w:r>
    </w:p>
    <w:p>
      <w:pPr>
        <w:pStyle w:val="ListParagraph"/>
        <w:numPr>
          <w:ilvl w:val="0"/>
          <w:numId w:val="13"/>
        </w:numPr>
        <w:spacing w:after="80"/>
      </w:pPr>
      <w:r>
        <w:rPr>
          <w:rFonts w:ascii="Arial" w:cs="Arial" w:eastAsia="Arial" w:hAnsi="Arial"/>
          <w:b/>
          <w:bCs/>
          <w:sz w:val="22"/>
          <w:szCs w:val="22"/>
        </w:rPr>
        <w:t xml:space="preserve">Create playlists. </w:t>
      </w:r>
      <w:r>
        <w:rPr>
          <w:rFonts w:ascii="Arial" w:cs="Arial" w:eastAsia="Arial" w:hAnsi="Arial"/>
          <w:sz w:val="22"/>
          <w:szCs w:val="22"/>
        </w:rPr>
        <w:t xml:space="preserve">Group videos by theme (AI Act series, Practical AI series, Geopolitics series). Playlists appear in search results and keep viewers watching multiple videos, which the algorithm rewards.</w:t>
      </w:r>
    </w:p>
    <w:p>
      <w:pPr>
        <w:pStyle w:val="Heading2"/>
        <w:spacing w:before="240" w:after="120"/>
      </w:pPr>
      <w:r>
        <w:rPr>
          <w:rFonts w:ascii="Arial" w:cs="Arial" w:eastAsia="Arial" w:hAnsi="Arial"/>
          <w:b/>
          <w:bCs/>
          <w:color w:val="1A5276"/>
          <w:sz w:val="26"/>
          <w:szCs w:val="26"/>
        </w:rPr>
        <w:t xml:space="preserve">Guest Appearances and Collaborations</w:t>
      </w:r>
    </w:p>
    <w:p>
      <w:pPr>
        <w:spacing w:after="160"/>
      </w:pPr>
      <w:r>
        <w:rPr>
          <w:rFonts w:ascii="Arial" w:cs="Arial" w:eastAsia="Arial" w:hAnsi="Arial"/>
          <w:sz w:val="22"/>
          <w:szCs w:val="22"/>
        </w:rPr>
        <w:t xml:space="preserve">The fastest way to reach new audiences without an existing network is to appear on other people’s platforms. This requires proactive outreach, but the barrier is lower than you might expect. Most podcast hosts and channel owners in the B2B space are actively looking for interesting guests.</w:t>
      </w:r>
    </w:p>
    <w:p>
      <w:pPr>
        <w:pStyle w:val="ListParagraph"/>
        <w:numPr>
          <w:ilvl w:val="0"/>
          <w:numId w:val="14"/>
        </w:numPr>
        <w:spacing w:after="80"/>
      </w:pPr>
      <w:r>
        <w:rPr>
          <w:rFonts w:ascii="Arial" w:cs="Arial" w:eastAsia="Arial" w:hAnsi="Arial"/>
          <w:b/>
          <w:bCs/>
          <w:sz w:val="22"/>
          <w:szCs w:val="22"/>
        </w:rPr>
        <w:t xml:space="preserve">Identify 20–30 podcasts in adjacent niches. </w:t>
      </w:r>
      <w:r>
        <w:rPr>
          <w:rFonts w:ascii="Arial" w:cs="Arial" w:eastAsia="Arial" w:hAnsi="Arial"/>
          <w:sz w:val="22"/>
          <w:szCs w:val="22"/>
        </w:rPr>
        <w:t xml:space="preserve">Technology policy, European business, digital transformation, cybersecurity, supply chain management, regulatory compliance. These podcasts have audiences that overlap with your target viewer. Send a personalised pitch to each host explaining what topic you could discuss and why their audience would care.</w:t>
      </w:r>
    </w:p>
    <w:p>
      <w:pPr>
        <w:pStyle w:val="ListParagraph"/>
        <w:numPr>
          <w:ilvl w:val="0"/>
          <w:numId w:val="14"/>
        </w:numPr>
        <w:spacing w:after="80"/>
      </w:pPr>
      <w:r>
        <w:rPr>
          <w:rFonts w:ascii="Arial" w:cs="Arial" w:eastAsia="Arial" w:hAnsi="Arial"/>
          <w:b/>
          <w:bCs/>
          <w:sz w:val="22"/>
          <w:szCs w:val="22"/>
        </w:rPr>
        <w:t xml:space="preserve">Offer to be a webinar speaker. </w:t>
      </w:r>
      <w:r>
        <w:rPr>
          <w:rFonts w:ascii="Arial" w:cs="Arial" w:eastAsia="Arial" w:hAnsi="Arial"/>
          <w:sz w:val="22"/>
          <w:szCs w:val="22"/>
        </w:rPr>
        <w:t xml:space="preserve">Industry associations, chambers of commerce, trade bodies, and professional membership organisations regularly need speakers for their online events. Offer a 30-minute talk on “What the AI Act Means for [their sector].” You provide value to their members; they provide exposure to your target audience.</w:t>
      </w:r>
    </w:p>
    <w:p>
      <w:pPr>
        <w:pStyle w:val="ListParagraph"/>
        <w:numPr>
          <w:ilvl w:val="0"/>
          <w:numId w:val="14"/>
        </w:numPr>
        <w:spacing w:after="80"/>
      </w:pPr>
      <w:r>
        <w:rPr>
          <w:rFonts w:ascii="Arial" w:cs="Arial" w:eastAsia="Arial" w:hAnsi="Arial"/>
          <w:b/>
          <w:bCs/>
          <w:sz w:val="22"/>
          <w:szCs w:val="22"/>
        </w:rPr>
        <w:t xml:space="preserve">Collaborate with adjacent YouTube creators. </w:t>
      </w:r>
      <w:r>
        <w:rPr>
          <w:rFonts w:ascii="Arial" w:cs="Arial" w:eastAsia="Arial" w:hAnsi="Arial"/>
          <w:sz w:val="22"/>
          <w:szCs w:val="22"/>
        </w:rPr>
        <w:t xml:space="preserve">Find channels that cover European business, technology policy, or regulatory compliance but not from your specific angle. Propose a joint video or an interview. Both channels benefit from cross-exposure.</w:t>
      </w:r>
    </w:p>
    <w:p>
      <w:pPr>
        <w:pStyle w:val="ListParagraph"/>
        <w:numPr>
          <w:ilvl w:val="0"/>
          <w:numId w:val="14"/>
        </w:numPr>
        <w:spacing w:after="80"/>
      </w:pPr>
      <w:r>
        <w:rPr>
          <w:rFonts w:ascii="Arial" w:cs="Arial" w:eastAsia="Arial" w:hAnsi="Arial"/>
          <w:b/>
          <w:bCs/>
          <w:sz w:val="22"/>
          <w:szCs w:val="22"/>
        </w:rPr>
        <w:t xml:space="preserve">Write guest articles. </w:t>
      </w:r>
      <w:r>
        <w:rPr>
          <w:rFonts w:ascii="Arial" w:cs="Arial" w:eastAsia="Arial" w:hAnsi="Arial"/>
          <w:sz w:val="22"/>
          <w:szCs w:val="22"/>
        </w:rPr>
        <w:t xml:space="preserve">Identify industry publications, trade magazines (many now have online editions), and professional blogs that cover your topics. Offer a 1,000-word article with your Silicon and Stone byline and a link to your YouTube channel. This builds backlinks for SEO and puts your name in front of new audiences.</w:t>
      </w:r>
    </w:p>
    <w:p>
      <w:pPr>
        <w:pStyle w:val="Heading2"/>
        <w:spacing w:before="240" w:after="120"/>
      </w:pPr>
      <w:r>
        <w:rPr>
          <w:rFonts w:ascii="Arial" w:cs="Arial" w:eastAsia="Arial" w:hAnsi="Arial"/>
          <w:b/>
          <w:bCs/>
          <w:color w:val="1A5276"/>
          <w:sz w:val="26"/>
          <w:szCs w:val="26"/>
        </w:rPr>
        <w:t xml:space="preserve">The Compounding Effect</w:t>
      </w:r>
    </w:p>
    <w:p>
      <w:pPr>
        <w:spacing w:after="160"/>
      </w:pPr>
      <w:r>
        <w:rPr>
          <w:rFonts w:ascii="Arial" w:cs="Arial" w:eastAsia="Arial" w:hAnsi="Arial"/>
          <w:sz w:val="22"/>
          <w:szCs w:val="22"/>
        </w:rPr>
        <w:t xml:space="preserve">The most important thing to understand about audience growth from a cold start is that it compounds. Month one is painfully slow. You publish your best work and a dozen people watch it. Month three is still slow, but you notice that some videos are getting search traffic weeks after publication. By month six, your back catalogue of twenty-plus videos and twenty-plus newsletter editions is generating a steady stream of discovery. By month twelve, you have fifty-plus videos, a hundred-plus LinkedIn posts, and a searchable archive of newsletter content. Each new piece of content draws people into the entire ecosystem.</w:t>
      </w:r>
    </w:p>
    <w:p>
      <w:pPr>
        <w:spacing w:after="160"/>
      </w:pPr>
      <w:r>
        <w:rPr>
          <w:rFonts w:ascii="Arial" w:cs="Arial" w:eastAsia="Arial" w:hAnsi="Arial"/>
          <w:sz w:val="22"/>
          <w:szCs w:val="22"/>
        </w:rPr>
        <w:t xml:space="preserve">The creators who fail are the ones who stop at month three because the numbers are discouraging. The creators who succeed are the ones who keep publishing high-quality content through the slow early months and trust that the compounding effect is real. In your niche, with your depth of expertise and the urgency of the AI Act timeline, the compounding will be faster than average — but it still requires patience through the first two quarters.</w:t>
      </w:r>
    </w:p>
    <w:p>
      <w:r>
        <w:br w:type="page"/>
      </w:r>
    </w:p>
    <w:p>
      <w:pPr>
        <w:spacing w:after="80"/>
      </w:pPr>
      <w:r>
        <w:rPr>
          <w:rFonts w:ascii="Arial" w:cs="Arial" w:eastAsia="Arial" w:hAnsi="Arial"/>
          <w:caps/>
          <w:color w:val="999999"/>
          <w:sz w:val="20"/>
          <w:szCs w:val="20"/>
        </w:rPr>
        <w:t xml:space="preserve">SECTION SIX</w:t>
      </w:r>
    </w:p>
    <w:p>
      <w:pPr>
        <w:pStyle w:val="Heading1"/>
        <w:spacing w:before="360" w:after="120"/>
      </w:pPr>
      <w:r>
        <w:rPr>
          <w:rFonts w:ascii="Arial" w:cs="Arial" w:eastAsia="Arial" w:hAnsi="Arial"/>
          <w:b/>
          <w:bCs/>
          <w:color w:val="1A5276"/>
          <w:sz w:val="32"/>
          <w:szCs w:val="32"/>
        </w:rPr>
        <w:t xml:space="preserve">Revised Timeline: Cold Start to £7,000–10,000/month</w:t>
      </w:r>
    </w:p>
    <w:p>
      <w:pPr>
        <w:spacing w:after="160"/>
      </w:pPr>
      <w:r>
        <w:rPr>
          <w:rFonts w:ascii="Arial" w:cs="Arial" w:eastAsia="Arial" w:hAnsi="Arial"/>
          <w:sz w:val="22"/>
          <w:szCs w:val="22"/>
        </w:rPr>
        <w:t xml:space="preserve">With no network, the trajectory is more gradual. Here is the honest projection: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35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Is Happening</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£200–£800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Building content library, launching products, first digital product sales trickling in. YouTube: 200–800 subscribers.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Sprout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£800–£2,500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 products gaining traction. Paid newsletter launched (20–40 paid subs). First consulting enquiry from content. YouTube: 1,000–3,000 subscribers.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7–12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£2,500–£5,500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Consulting pipeline developing. Product catalogue expanding. Newsletter growing. First sponsorship. YouTube: 3,000–7,000 subscribers.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13–18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£5,000–£8,500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Multiple revenue streams active. Retainer clients. Course launch. Sponsorship regular. YouTube: 5,000–12,000 subscribers.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Months 18–24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£7,000–£10,000+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Mature revenue portfolio. Predictable recurring income from newsletter + retainers. Products selling consistently. Network effect from satisfied clients.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critical difference from the network-assisted timeline is that the first six months generate less consulting revenue, which is compensated by earlier emphasis on digital products and newsletter growth. The total trajectory is approximately six months longer, but the business you build is more resilient because every client has been earned through content rather than borrowed from existing relationships.</w:t>
      </w:r>
    </w:p>
    <w:p>
      <w:r>
        <w:br w:type="page"/>
      </w:r>
    </w:p>
    <w:p>
      <w:pPr>
        <w:spacing w:after="80"/>
      </w:pPr>
      <w:r>
        <w:rPr>
          <w:rFonts w:ascii="Arial" w:cs="Arial" w:eastAsia="Arial" w:hAnsi="Arial"/>
          <w:caps/>
          <w:color w:val="999999"/>
          <w:sz w:val="20"/>
          <w:szCs w:val="20"/>
        </w:rPr>
        <w:t xml:space="preserve">SECTION SEVEN</w:t>
      </w:r>
    </w:p>
    <w:p>
      <w:pPr>
        <w:pStyle w:val="Heading1"/>
        <w:spacing w:before="360" w:after="120"/>
      </w:pPr>
      <w:r>
        <w:rPr>
          <w:rFonts w:ascii="Arial" w:cs="Arial" w:eastAsia="Arial" w:hAnsi="Arial"/>
          <w:b/>
          <w:bCs/>
          <w:color w:val="1A5276"/>
          <w:sz w:val="32"/>
          <w:szCs w:val="32"/>
        </w:rPr>
        <w:t xml:space="preserve">The First 30 Days: Exactly What to Build and in What Order</w:t>
      </w:r>
    </w:p>
    <w:p>
      <w:pPr>
        <w:spacing w:after="160"/>
      </w:pPr>
      <w:r>
        <w:rPr>
          <w:rFonts w:ascii="Arial" w:cs="Arial" w:eastAsia="Arial" w:hAnsi="Arial"/>
          <w:sz w:val="22"/>
          <w:szCs w:val="22"/>
        </w:rPr>
        <w:t xml:space="preserve">If you are starting from scratch with no audience and no network, here is the precise sequence of actions for your first month:</w:t>
      </w:r>
    </w:p>
    <w:p>
      <w:pPr>
        <w:pStyle w:val="Heading2"/>
        <w:spacing w:before="240" w:after="120"/>
      </w:pPr>
      <w:r>
        <w:rPr>
          <w:rFonts w:ascii="Arial" w:cs="Arial" w:eastAsia="Arial" w:hAnsi="Arial"/>
          <w:b/>
          <w:bCs/>
          <w:color w:val="1A5276"/>
          <w:sz w:val="26"/>
          <w:szCs w:val="26"/>
        </w:rPr>
        <w:t xml:space="preserve">Week 1: Foundation</w:t>
      </w:r>
    </w:p>
    <w:p>
      <w:pPr>
        <w:pStyle w:val="ListParagraph"/>
        <w:numPr>
          <w:ilvl w:val="0"/>
          <w:numId w:val="15"/>
        </w:numPr>
        <w:spacing w:after="80"/>
      </w:pPr>
      <w:r>
        <w:rPr>
          <w:rFonts w:ascii="Arial" w:cs="Arial" w:eastAsia="Arial" w:hAnsi="Arial"/>
          <w:b/>
          <w:bCs/>
          <w:sz w:val="22"/>
          <w:szCs w:val="22"/>
        </w:rPr>
        <w:t xml:space="preserve">Day 1–2: </w:t>
      </w:r>
      <w:r>
        <w:rPr>
          <w:rFonts w:ascii="Arial" w:cs="Arial" w:eastAsia="Arial" w:hAnsi="Arial"/>
          <w:sz w:val="22"/>
          <w:szCs w:val="22"/>
        </w:rPr>
        <w:t xml:space="preserve">Set up your YouTube channel (name, banner, profile image, About section). Set up your Substack newsletter. Set up your LinkedIn profile with your new positioning. Set up a Payhip account for digital product sales.</w:t>
      </w:r>
    </w:p>
    <w:p>
      <w:pPr>
        <w:pStyle w:val="ListParagraph"/>
        <w:numPr>
          <w:ilvl w:val="0"/>
          <w:numId w:val="15"/>
        </w:numPr>
        <w:spacing w:after="80"/>
      </w:pPr>
      <w:r>
        <w:rPr>
          <w:rFonts w:ascii="Arial" w:cs="Arial" w:eastAsia="Arial" w:hAnsi="Arial"/>
          <w:b/>
          <w:bCs/>
          <w:sz w:val="22"/>
          <w:szCs w:val="22"/>
        </w:rPr>
        <w:t xml:space="preserve">Day 2–3: </w:t>
      </w:r>
      <w:r>
        <w:rPr>
          <w:rFonts w:ascii="Arial" w:cs="Arial" w:eastAsia="Arial" w:hAnsi="Arial"/>
          <w:sz w:val="22"/>
          <w:szCs w:val="22"/>
        </w:rPr>
        <w:t xml:space="preserve">Build the AI Audit Checklist Pack. This is your fastest product — two spreadsheet templates and a short PDF. You already know enough to create this today. List it on Payhip at £24.</w:t>
      </w:r>
    </w:p>
    <w:p>
      <w:pPr>
        <w:pStyle w:val="ListParagraph"/>
        <w:numPr>
          <w:ilvl w:val="0"/>
          <w:numId w:val="15"/>
        </w:numPr>
        <w:spacing w:after="80"/>
      </w:pPr>
      <w:r>
        <w:rPr>
          <w:rFonts w:ascii="Arial" w:cs="Arial" w:eastAsia="Arial" w:hAnsi="Arial"/>
          <w:b/>
          <w:bCs/>
          <w:sz w:val="22"/>
          <w:szCs w:val="22"/>
        </w:rPr>
        <w:t xml:space="preserve">Day 3–5: </w:t>
      </w:r>
      <w:r>
        <w:rPr>
          <w:rFonts w:ascii="Arial" w:cs="Arial" w:eastAsia="Arial" w:hAnsi="Arial"/>
          <w:sz w:val="22"/>
          <w:szCs w:val="22"/>
        </w:rPr>
        <w:t xml:space="preserve">Script and film your first YouTube video (the origin story from the content calendar). Film your first two Shorts.</w:t>
      </w:r>
    </w:p>
    <w:p>
      <w:pPr>
        <w:pStyle w:val="ListParagraph"/>
        <w:numPr>
          <w:ilvl w:val="0"/>
          <w:numId w:val="15"/>
        </w:numPr>
        <w:spacing w:after="80"/>
      </w:pPr>
      <w:r>
        <w:rPr>
          <w:rFonts w:ascii="Arial" w:cs="Arial" w:eastAsia="Arial" w:hAnsi="Arial"/>
          <w:b/>
          <w:bCs/>
          <w:sz w:val="22"/>
          <w:szCs w:val="22"/>
        </w:rPr>
        <w:t xml:space="preserve">Day 5–7: </w:t>
      </w:r>
      <w:r>
        <w:rPr>
          <w:rFonts w:ascii="Arial" w:cs="Arial" w:eastAsia="Arial" w:hAnsi="Arial"/>
          <w:sz w:val="22"/>
          <w:szCs w:val="22"/>
        </w:rPr>
        <w:t xml:space="preserve">Edit and schedule your first week of YouTube content. Write and schedule your first newsletter edition. Publish your first three LinkedIn posts.</w:t>
      </w:r>
    </w:p>
    <w:p>
      <w:pPr>
        <w:pStyle w:val="Heading2"/>
        <w:spacing w:before="240" w:after="120"/>
      </w:pPr>
      <w:r>
        <w:rPr>
          <w:rFonts w:ascii="Arial" w:cs="Arial" w:eastAsia="Arial" w:hAnsi="Arial"/>
          <w:b/>
          <w:bCs/>
          <w:color w:val="1A5276"/>
          <w:sz w:val="26"/>
          <w:szCs w:val="26"/>
        </w:rPr>
        <w:t xml:space="preserve">Week 2: Launch</w:t>
      </w:r>
    </w:p>
    <w:p>
      <w:pPr>
        <w:pStyle w:val="ListParagraph"/>
        <w:numPr>
          <w:ilvl w:val="0"/>
          <w:numId w:val="16"/>
        </w:numPr>
        <w:spacing w:after="80"/>
      </w:pPr>
      <w:r>
        <w:rPr>
          <w:rFonts w:ascii="Arial" w:cs="Arial" w:eastAsia="Arial" w:hAnsi="Arial"/>
          <w:b/>
          <w:bCs/>
          <w:sz w:val="22"/>
          <w:szCs w:val="22"/>
        </w:rPr>
        <w:t xml:space="preserve">Day 8: </w:t>
      </w:r>
      <w:r>
        <w:rPr>
          <w:rFonts w:ascii="Arial" w:cs="Arial" w:eastAsia="Arial" w:hAnsi="Arial"/>
          <w:sz w:val="22"/>
          <w:szCs w:val="22"/>
        </w:rPr>
        <w:t xml:space="preserve">Publish your first YouTube video and newsletter simultaneously. Share on LinkedIn. You are now live.</w:t>
      </w:r>
    </w:p>
    <w:p>
      <w:pPr>
        <w:pStyle w:val="ListParagraph"/>
        <w:numPr>
          <w:ilvl w:val="0"/>
          <w:numId w:val="16"/>
        </w:numPr>
        <w:spacing w:after="80"/>
      </w:pPr>
      <w:r>
        <w:rPr>
          <w:rFonts w:ascii="Arial" w:cs="Arial" w:eastAsia="Arial" w:hAnsi="Arial"/>
          <w:b/>
          <w:bCs/>
          <w:sz w:val="22"/>
          <w:szCs w:val="22"/>
        </w:rPr>
        <w:t xml:space="preserve">Day 9–10: </w:t>
      </w:r>
      <w:r>
        <w:rPr>
          <w:rFonts w:ascii="Arial" w:cs="Arial" w:eastAsia="Arial" w:hAnsi="Arial"/>
          <w:sz w:val="22"/>
          <w:szCs w:val="22"/>
        </w:rPr>
        <w:t xml:space="preserve">Publish Shorts on schedule. Begin daily LinkedIn posting rhythm.</w:t>
      </w:r>
    </w:p>
    <w:p>
      <w:pPr>
        <w:pStyle w:val="ListParagraph"/>
        <w:numPr>
          <w:ilvl w:val="0"/>
          <w:numId w:val="16"/>
        </w:numPr>
        <w:spacing w:after="80"/>
      </w:pPr>
      <w:r>
        <w:rPr>
          <w:rFonts w:ascii="Arial" w:cs="Arial" w:eastAsia="Arial" w:hAnsi="Arial"/>
          <w:b/>
          <w:bCs/>
          <w:sz w:val="22"/>
          <w:szCs w:val="22"/>
        </w:rPr>
        <w:t xml:space="preserve">Day 10–14: </w:t>
      </w:r>
      <w:r>
        <w:rPr>
          <w:rFonts w:ascii="Arial" w:cs="Arial" w:eastAsia="Arial" w:hAnsi="Arial"/>
          <w:sz w:val="22"/>
          <w:szCs w:val="22"/>
        </w:rPr>
        <w:t xml:space="preserve">Begin writing the AI Act Compliance Toolkit. Aim to complete Section 1 (Executive Summary) and Section 2 (Risk Classification Decision Tree) this week. Script and film your Week 2 YouTube video.</w:t>
      </w:r>
    </w:p>
    <w:p>
      <w:pPr>
        <w:pStyle w:val="Heading2"/>
        <w:spacing w:before="240" w:after="120"/>
      </w:pPr>
      <w:r>
        <w:rPr>
          <w:rFonts w:ascii="Arial" w:cs="Arial" w:eastAsia="Arial" w:hAnsi="Arial"/>
          <w:b/>
          <w:bCs/>
          <w:color w:val="1A5276"/>
          <w:sz w:val="26"/>
          <w:szCs w:val="26"/>
        </w:rPr>
        <w:t xml:space="preserve">Week 3: Build Momentum</w:t>
      </w:r>
    </w:p>
    <w:p>
      <w:pPr>
        <w:pStyle w:val="ListParagraph"/>
        <w:numPr>
          <w:ilvl w:val="0"/>
          <w:numId w:val="17"/>
        </w:numPr>
        <w:spacing w:after="80"/>
      </w:pPr>
      <w:r>
        <w:rPr>
          <w:rFonts w:ascii="Arial" w:cs="Arial" w:eastAsia="Arial" w:hAnsi="Arial"/>
          <w:b/>
          <w:bCs/>
          <w:sz w:val="22"/>
          <w:szCs w:val="22"/>
        </w:rPr>
        <w:t xml:space="preserve">Day 15: </w:t>
      </w:r>
      <w:r>
        <w:rPr>
          <w:rFonts w:ascii="Arial" w:cs="Arial" w:eastAsia="Arial" w:hAnsi="Arial"/>
          <w:sz w:val="22"/>
          <w:szCs w:val="22"/>
        </w:rPr>
        <w:t xml:space="preserve">Publish Week 2 video and newsletter. Continue LinkedIn rhythm.</w:t>
      </w:r>
    </w:p>
    <w:p>
      <w:pPr>
        <w:pStyle w:val="ListParagraph"/>
        <w:numPr>
          <w:ilvl w:val="0"/>
          <w:numId w:val="17"/>
        </w:numPr>
        <w:spacing w:after="80"/>
      </w:pPr>
      <w:r>
        <w:rPr>
          <w:rFonts w:ascii="Arial" w:cs="Arial" w:eastAsia="Arial" w:hAnsi="Arial"/>
          <w:b/>
          <w:bCs/>
          <w:sz w:val="22"/>
          <w:szCs w:val="22"/>
        </w:rPr>
        <w:t xml:space="preserve">Day 15–21: </w:t>
      </w:r>
      <w:r>
        <w:rPr>
          <w:rFonts w:ascii="Arial" w:cs="Arial" w:eastAsia="Arial" w:hAnsi="Arial"/>
          <w:sz w:val="22"/>
          <w:szCs w:val="22"/>
        </w:rPr>
        <w:t xml:space="preserve">Continue building the Compliance Toolkit (Sections 3–4). Send your first five podcast guest pitches. Research and identify 10 industry webinars or events you could speak at.</w:t>
      </w:r>
    </w:p>
    <w:p>
      <w:pPr>
        <w:pStyle w:val="Heading2"/>
        <w:spacing w:before="240" w:after="120"/>
      </w:pPr>
      <w:r>
        <w:rPr>
          <w:rFonts w:ascii="Arial" w:cs="Arial" w:eastAsia="Arial" w:hAnsi="Arial"/>
          <w:b/>
          <w:bCs/>
          <w:color w:val="1A5276"/>
          <w:sz w:val="26"/>
          <w:szCs w:val="26"/>
        </w:rPr>
        <w:t xml:space="preserve">Week 4: Complete First Cycle</w:t>
      </w:r>
    </w:p>
    <w:p>
      <w:pPr>
        <w:pStyle w:val="ListParagraph"/>
        <w:numPr>
          <w:ilvl w:val="0"/>
          <w:numId w:val="18"/>
        </w:numPr>
        <w:spacing w:after="80"/>
      </w:pPr>
      <w:r>
        <w:rPr>
          <w:rFonts w:ascii="Arial" w:cs="Arial" w:eastAsia="Arial" w:hAnsi="Arial"/>
          <w:b/>
          <w:bCs/>
          <w:sz w:val="22"/>
          <w:szCs w:val="22"/>
        </w:rPr>
        <w:t xml:space="preserve">Day 22: </w:t>
      </w:r>
      <w:r>
        <w:rPr>
          <w:rFonts w:ascii="Arial" w:cs="Arial" w:eastAsia="Arial" w:hAnsi="Arial"/>
          <w:sz w:val="22"/>
          <w:szCs w:val="22"/>
        </w:rPr>
        <w:t xml:space="preserve">Publish Week 3 video and newsletter.</w:t>
      </w:r>
    </w:p>
    <w:p>
      <w:pPr>
        <w:pStyle w:val="ListParagraph"/>
        <w:numPr>
          <w:ilvl w:val="0"/>
          <w:numId w:val="18"/>
        </w:numPr>
        <w:spacing w:after="80"/>
      </w:pPr>
      <w:r>
        <w:rPr>
          <w:rFonts w:ascii="Arial" w:cs="Arial" w:eastAsia="Arial" w:hAnsi="Arial"/>
          <w:b/>
          <w:bCs/>
          <w:sz w:val="22"/>
          <w:szCs w:val="22"/>
        </w:rPr>
        <w:t xml:space="preserve">Day 22–28: </w:t>
      </w:r>
      <w:r>
        <w:rPr>
          <w:rFonts w:ascii="Arial" w:cs="Arial" w:eastAsia="Arial" w:hAnsi="Arial"/>
          <w:sz w:val="22"/>
          <w:szCs w:val="22"/>
        </w:rPr>
        <w:t xml:space="preserve">Complete the Compliance Toolkit (Sections 5–6, appendix, spreadsheets). Design, proofread, and test. Record the video walkthrough if offering the professional package.</w:t>
      </w:r>
    </w:p>
    <w:p>
      <w:pPr>
        <w:pStyle w:val="ListParagraph"/>
        <w:numPr>
          <w:ilvl w:val="0"/>
          <w:numId w:val="18"/>
        </w:numPr>
        <w:spacing w:after="80"/>
      </w:pPr>
      <w:r>
        <w:rPr>
          <w:rFonts w:ascii="Arial" w:cs="Arial" w:eastAsia="Arial" w:hAnsi="Arial"/>
          <w:b/>
          <w:bCs/>
          <w:sz w:val="22"/>
          <w:szCs w:val="22"/>
        </w:rPr>
        <w:t xml:space="preserve">Day 28–30: </w:t>
      </w:r>
      <w:r>
        <w:rPr>
          <w:rFonts w:ascii="Arial" w:cs="Arial" w:eastAsia="Arial" w:hAnsi="Arial"/>
          <w:sz w:val="22"/>
          <w:szCs w:val="22"/>
        </w:rPr>
        <w:t xml:space="preserve">Launch the Compliance Toolkit on Payhip. Announce in your newsletter and on LinkedIn. Mention in your Week 4 YouTube video description.</w:t>
      </w:r>
    </w:p>
    <w:p>
      <w:pPr>
        <w:spacing w:after="160"/>
      </w:pPr>
      <w:r>
        <w:rPr>
          <w:rFonts w:ascii="Arial" w:cs="Arial" w:eastAsia="Arial" w:hAnsi="Arial"/>
          <w:sz w:val="22"/>
          <w:szCs w:val="22"/>
        </w:rPr>
        <w:t xml:space="preserve">By the end of day 30, you have: a YouTube channel with four published videos and six to eight Shorts; a newsletter with four editions sent; two digital products for sale; an active LinkedIn presence with 12–16 posts; and podcast guest pitches in circulation. You are in motion.</w:t>
      </w:r>
    </w:p>
    <w:p>
      <w:r>
        <w:br w:type="page"/>
      </w:r>
    </w:p>
    <w:p>
      <w:pPr>
        <w:spacing w:after="80"/>
      </w:pPr>
      <w:r>
        <w:rPr>
          <w:rFonts w:ascii="Arial" w:cs="Arial" w:eastAsia="Arial" w:hAnsi="Arial"/>
          <w:caps/>
          <w:color w:val="999999"/>
          <w:sz w:val="20"/>
          <w:szCs w:val="20"/>
        </w:rPr>
        <w:t xml:space="preserve">SECTION EIGHT</w:t>
      </w:r>
    </w:p>
    <w:p>
      <w:pPr>
        <w:pStyle w:val="Heading1"/>
        <w:spacing w:before="360" w:after="120"/>
      </w:pPr>
      <w:r>
        <w:rPr>
          <w:rFonts w:ascii="Arial" w:cs="Arial" w:eastAsia="Arial" w:hAnsi="Arial"/>
          <w:b/>
          <w:bCs/>
          <w:color w:val="1A5276"/>
          <w:sz w:val="32"/>
          <w:szCs w:val="32"/>
        </w:rPr>
        <w:t xml:space="preserve">Financial Summary: The Path to a Living Income</w:t>
      </w:r>
    </w:p>
    <w:p>
      <w:pPr>
        <w:spacing w:after="160"/>
      </w:pPr>
      <w:r>
        <w:rPr>
          <w:rFonts w:ascii="Arial" w:cs="Arial" w:eastAsia="Arial" w:hAnsi="Arial"/>
          <w:sz w:val="22"/>
          <w:szCs w:val="22"/>
        </w:rPr>
        <w:t xml:space="preserve">At steady state (month 18–24), a representative month generating £8,500 looks like this: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5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It Arrives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Advisory retainer (1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recurring. 4–6 hours of your time.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Strategic briefing (1/month)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 preparation, 2–3 hours delivery.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Compliance Toolkit + Checklist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30–40 sales/month through content pipeline.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Sector briefings (catalogue)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 sales/month across 6–8 titles.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newsletter (80 subs)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Recurring. 4–5 hours of writing per week.</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Sponsorship (1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hours for briefing and recording.</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ad 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Passive. Grows with back catalogue views.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rPr>
          <w:rFonts w:ascii="Arial" w:cs="Arial" w:eastAsia="Arial" w:hAnsi="Arial"/>
          <w:sz w:val="22"/>
          <w:szCs w:val="22"/>
        </w:rPr>
        <w:t xml:space="preserve"/>
      </w:r>
    </w:p>
    <w:p>
      <w:pPr>
        <w:pStyle w:val="Heading2"/>
        <w:spacing w:before="240" w:after="120"/>
      </w:pPr>
      <w:r>
        <w:rPr>
          <w:rFonts w:ascii="Arial" w:cs="Arial" w:eastAsia="Arial" w:hAnsi="Arial"/>
          <w:b/>
          <w:bCs/>
          <w:color w:val="1A5276"/>
          <w:sz w:val="26"/>
          <w:szCs w:val="26"/>
        </w:rPr>
        <w:t xml:space="preserve">Time Investment at Steady State</w:t>
      </w:r>
    </w:p>
    <w:p>
      <w:pPr>
        <w:spacing w:after="160"/>
      </w:pPr>
      <w:r>
        <w:rPr>
          <w:rFonts w:ascii="Arial" w:cs="Arial" w:eastAsia="Arial" w:hAnsi="Arial"/>
          <w:sz w:val="22"/>
          <w:szCs w:val="22"/>
        </w:rPr>
        <w:t xml:space="preserve">It is worth mapping the time commitment alongside the revenue to ensure this is sustainable: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960"/>
      </w:tblGrid>
      <w:tr>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Hours/Week</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 It Drives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(research, script, film, edit)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 revenue + product sales + consulting pipeline</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Newsletter (write free + 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Paid subscriptions + product sales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LinkedIn (posts + 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Consulting pipeline + newsletter signups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Consulting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consulting revenue</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Digital product maintenance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sales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Administration and planning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23–36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At the midpoint of these ranges (approximately 30 hours per week), you are earning £8,500 per month for what amounts to a demanding but manageable four-day working week. This is a realistic working pattern for a solo creator-consultant. The weeks where consulting is heavier may push toward 40 hours; the weeks without consulting sessions may drop to 25. The important point is that this is not a burnout schedule — it is a sustainable professional practice built around content creation and expert advisory work.</w:t>
      </w:r>
    </w:p>
    <w:p>
      <w:pPr>
        <w:spacing w:after="160"/>
      </w:pPr>
      <w:r>
        <w:rPr>
          <w:rFonts w:ascii="Arial" w:cs="Arial" w:eastAsia="Arial" w:hAnsi="Arial"/>
          <w:sz w:val="22"/>
          <w:szCs w:val="22"/>
        </w:rPr>
        <w:t xml:space="preserve">Your existing network, if and when you choose to activate it, sits as pure upside on top of this plan. It would likely accelerate consulting revenue by three to six months and could add an additional £1,000–£3,000 per month during the growth phase. But the plan does not depend on it, and that independence is its strength.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pPr>
    <w:r>
      <w:rPr>
        <w:rFonts w:ascii="Arial" w:cs="Arial" w:eastAsia="Arial" w:hAnsi="Arial"/>
        <w:b/>
        <w:bCs/>
        <w:color w:val="1A5276"/>
        <w:sz w:val="18"/>
        <w:szCs w:val="18"/>
      </w:rPr>
      <w:t xml:space="preserve">Silicon and Stone</w:t>
    </w:r>
    <w:r>
      <w:rPr>
        <w:rFonts w:ascii="Arial" w:cs="Arial" w:eastAsia="Arial" w:hAnsi="Arial"/>
        <w:color w:val="999999"/>
        <w:sz w:val="18"/>
        <w:szCs w:val="18"/>
      </w:rPr>
      <w:t xml:space="preserve">	Cold Start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0"/>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5"/>
    <w:lvlOverride w:ilvl="0">
      <w:startOverride w:val="1"/>
    </w:lvlOverride>
  </w:num>
  <w:num w:numId="15">
    <w:abstractNumId w:val="17"/>
    <w:lvlOverride w:ilvl="0">
      <w:startOverride w:val="1"/>
    </w:lvlOverride>
  </w:num>
  <w:num w:numId="16">
    <w:abstractNumId w:val="19"/>
    <w:lvlOverride w:ilvl="0">
      <w:startOverride w:val="1"/>
    </w:lvlOverride>
  </w:num>
  <w:num w:numId="17">
    <w:abstractNumId w:val="21"/>
    <w:lvlOverride w:ilvl="0">
      <w:startOverride w:val="1"/>
    </w:lvlOverride>
  </w:num>
  <w:num w:numId="18">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2026-03-08T21:05:20.016Z</dcterms:created>
  <dcterms:modified xsi:type="dcterms:W3CDTF">2026-03-08T21:05:20.016Z</dcterms:modified>
</cp:coreProperties>
</file>

<file path=docProps/custom.xml><?xml version="1.0" encoding="utf-8"?>
<Properties xmlns="http://schemas.openxmlformats.org/officeDocument/2006/custom-properties" xmlns:vt="http://schemas.openxmlformats.org/officeDocument/2006/docPropsVTypes"/>
</file>