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1A"/>
          <w:sz w:val="52"/>
          <w:szCs w:val="52"/>
        </w:rPr>
        <w:t xml:space="preserve">SILICON &amp; STONE</w:t>
      </w:r>
    </w:p>
    <w:p>
      <w:pPr>
        <w:pBdr>
          <w:bottom w:val="single" w:color="00E5FF" w:sz="4" w:space="8"/>
        </w:pBdr>
        <w:spacing w:after="80"/>
        <w:jc w:val="center"/>
      </w:pPr>
      <w:r>
        <w:rPr>
          <w:rFonts w:ascii="Arial" w:cs="Arial" w:eastAsia="Arial" w:hAnsi="Arial"/>
          <w:color w:val="00B8D4"/>
          <w:spacing w:val="200"/>
          <w:sz w:val="24"/>
          <w:szCs w:val="24"/>
        </w:rPr>
        <w:t xml:space="preserve">INTELLIGENCE SERIES</w:t>
      </w:r>
    </w:p>
    <w:p>
      <w:pPr>
        <w:spacing w:before="600" w:after="200"/>
        <w:jc w:val="center"/>
      </w:pPr>
      <w:r>
        <w:rPr>
          <w:rFonts w:ascii="Arial" w:cs="Arial" w:eastAsia="Arial" w:hAnsi="Arial"/>
          <w:color w:val="1A1A1A"/>
          <w:sz w:val="36"/>
          <w:szCs w:val="36"/>
        </w:rPr>
        <w:t xml:space="preserve">YouTube Channel &amp; Digital Product</w:t>
      </w:r>
    </w:p>
    <w:p>
      <w:pPr>
        <w:spacing w:after="100"/>
        <w:jc w:val="center"/>
      </w:pPr>
      <w:r>
        <w:rPr>
          <w:rFonts w:ascii="Arial" w:cs="Arial" w:eastAsia="Arial" w:hAnsi="Arial"/>
          <w:color w:val="1A1A1A"/>
          <w:sz w:val="36"/>
          <w:szCs w:val="36"/>
        </w:rPr>
        <w:t xml:space="preserve">Integrated Revenue Strategy</w:t>
      </w:r>
    </w:p>
    <w:p>
      <w:pPr>
        <w:spacing w:before="400"/>
        <w:jc w:val="center"/>
      </w:pPr>
      <w:r>
        <w:rPr>
          <w:rFonts w:ascii="Arial" w:cs="Arial" w:eastAsia="Arial" w:hAnsi="Arial"/>
          <w:color w:val="6B6B6B"/>
          <w:sz w:val="22"/>
          <w:szCs w:val="22"/>
        </w:rPr>
        <w:t xml:space="preserve">Comprehensive Channel Architecture, Content Calendar,</w:t>
      </w:r>
    </w:p>
    <w:p>
      <w:pPr>
        <w:jc w:val="center"/>
      </w:pPr>
      <w:r>
        <w:rPr>
          <w:rFonts w:ascii="Arial" w:cs="Arial" w:eastAsia="Arial" w:hAnsi="Arial"/>
          <w:color w:val="6B6B6B"/>
          <w:sz w:val="22"/>
          <w:szCs w:val="22"/>
        </w:rPr>
        <w:t xml:space="preserve">Niche Positioning &amp; Monetisation Roadmap</w:t>
      </w:r>
    </w:p>
    <w:p>
      <w:pPr>
        <w:spacing w:before="800"/>
        <w:jc w:val="center"/>
      </w:pPr>
      <w:r>
        <w:rPr>
          <w:rFonts w:ascii="Arial" w:cs="Arial" w:eastAsia="Arial" w:hAnsi="Arial"/>
          <w:color w:val="6B6B6B"/>
          <w:sz w:val="22"/>
          <w:szCs w:val="22"/>
        </w:rPr>
        <w:t xml:space="preserve">March 2026</w:t>
      </w:r>
    </w:p>
    <w:p>
      <w:pPr>
        <w:spacing w:after="80"/>
        <w:jc w:val="center"/>
      </w:pPr>
      <w:r>
        <w:rPr>
          <w:rFonts w:ascii="Arial" w:cs="Arial" w:eastAsia="Arial" w:hAnsi="Arial"/>
          <w:color w:val="6B6B6B"/>
          <w:sz w:val="18"/>
          <w:szCs w:val="18"/>
        </w:rPr>
        <w:t xml:space="preserve">CONFIDENTIAL — INTERNAL STRATEGY DOCUMENT</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1A"/>
          <w:sz w:val="32"/>
          <w:szCs w:val="32"/>
        </w:rPr>
        <w:t xml:space="preserve">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E5FF" w:sz="6"/>
              <w:left w:val="single" w:color="00E5FF" w:sz="6"/>
              <w:bottom w:val="single" w:color="00E5FF" w:sz="6"/>
              <w:right w:val="single" w:color="00E5FF" w:sz="6"/>
            </w:tcBorders>
            <w:shd w:fill="F0FAFA" w:val="clear"/>
            <w:tcMar>
              <w:top w:type="dxa" w:w="160"/>
              <w:left w:type="dxa" w:w="240"/>
              <w:bottom w:type="dxa" w:w="160"/>
              <w:right w:type="dxa" w:w="240"/>
            </w:tcMar>
          </w:tcPr>
          <w:p>
            <w:pPr>
              <w:spacing w:after="80"/>
            </w:pPr>
            <w:r>
              <w:rPr>
                <w:rFonts w:ascii="Arial" w:cs="Arial" w:eastAsia="Arial" w:hAnsi="Arial"/>
                <w:b/>
                <w:bCs/>
                <w:color w:val="00B8D4"/>
                <w:sz w:val="20"/>
                <w:szCs w:val="20"/>
              </w:rPr>
              <w:t xml:space="preserve">STONE VERDICT</w:t>
            </w:r>
          </w:p>
          <w:p>
            <w:pPr>
              <w:spacing w:after="0" w:line="276"/>
            </w:pPr>
            <w:r>
              <w:rPr>
                <w:rFonts w:ascii="Arial" w:cs="Arial" w:eastAsia="Arial" w:hAnsi="Arial"/>
                <w:color w:val="1A1A1A"/>
                <w:sz w:val="22"/>
                <w:szCs w:val="22"/>
              </w:rPr>
              <w:t xml:space="preserve">Your channel thesis is sound. The two-pillar weekly cadence (Tuesday analysis, Friday applied) is the correct structure. However, the niche needs tightening: position as the strategic intelligence channel for experienced European professionals navigating the 2026 technology power shift, not as two separate channels sharing a brand. The primary revenue engine should be digital products (intelligence PDFs and career frameworks), with ad revenue and affiliates as compounding secondary streams, and sponsorships arriving once audience quality is proven. This document provides the complete architecture.</w:t>
            </w:r>
          </w:p>
        </w:tc>
      </w:tr>
    </w:tbl>
    <w:p>
      <w:pPr>
        <w:spacing w:before="80" w:after="80"/>
      </w:pPr>
    </w:p>
    <w:p>
      <w:pPr>
        <w:spacing w:after="160" w:line="276"/>
        <w:jc w:val="left"/>
      </w:pPr>
      <w:r>
        <w:rPr>
          <w:rFonts w:ascii="Arial" w:cs="Arial" w:eastAsia="Arial" w:hAnsi="Arial"/>
          <w:color w:val="4A4A4A"/>
          <w:sz w:val="22"/>
          <w:szCs w:val="22"/>
        </w:rPr>
        <w:t xml:space="preserve">This report consolidates all strategic inputs — the Forensic Technopolitics framework, the YouTube Growth and Revenue Strategy research, the Digital Channel Strategy findings, the intelligence portal specifications, and previous strategic conversations — into a single, actionable channel and product plan.</w:t>
      </w:r>
    </w:p>
    <w:p>
      <w:pPr>
        <w:spacing w:after="160" w:line="276"/>
        <w:jc w:val="left"/>
      </w:pPr>
      <w:r>
        <w:rPr>
          <w:rFonts w:ascii="Arial" w:cs="Arial" w:eastAsia="Arial" w:hAnsi="Arial"/>
          <w:color w:val="4A4A4A"/>
          <w:sz w:val="22"/>
          <w:szCs w:val="22"/>
        </w:rPr>
        <w:t xml:space="preserve">The recommendations that follow are calibrated for a solo creator producing two long-form videos per week plus supplementary Shorts, generating revenue primarily through owned digital products, with affiliate commissions and sponsorships layered on as the audience matures.</w:t>
      </w:r>
    </w:p>
    <w:p>
      <w:r>
        <w:r>
          <w:br w:type="page"/>
        </w:r>
      </w:r>
    </w:p>
    <w:p>
      <w:pPr>
        <w:pStyle w:val="Heading1"/>
        <w:spacing w:before="360" w:after="200"/>
      </w:pPr>
      <w:r>
        <w:rPr>
          <w:rFonts w:ascii="Arial" w:cs="Arial" w:eastAsia="Arial" w:hAnsi="Arial"/>
          <w:b/>
          <w:bCs/>
          <w:color w:val="1A1A1A"/>
          <w:sz w:val="32"/>
          <w:szCs w:val="32"/>
        </w:rPr>
        <w:t xml:space="preserve">1. Niche Assessment &amp; Positioning</w:t>
      </w:r>
    </w:p>
    <w:p>
      <w:pPr>
        <w:pStyle w:val="Heading2"/>
        <w:spacing w:before="280" w:after="160"/>
      </w:pPr>
      <w:r>
        <w:rPr>
          <w:rFonts w:ascii="Arial" w:cs="Arial" w:eastAsia="Arial" w:hAnsi="Arial"/>
          <w:b/>
          <w:bCs/>
          <w:color w:val="1A1A1A"/>
          <w:sz w:val="26"/>
          <w:szCs w:val="26"/>
        </w:rPr>
        <w:t xml:space="preserve">1.1 The Niche Verdict</w:t>
      </w:r>
    </w:p>
    <w:p>
      <w:pPr>
        <w:spacing w:after="160" w:line="276"/>
        <w:jc w:val="left"/>
      </w:pPr>
      <w:r>
        <w:rPr>
          <w:rFonts w:ascii="Arial" w:cs="Arial" w:eastAsia="Arial" w:hAnsi="Arial"/>
          <w:color w:val="4A4A4A"/>
          <w:sz w:val="22"/>
          <w:szCs w:val="22"/>
        </w:rPr>
        <w:t xml:space="preserve">After reviewing the competitive landscape, CPM data, and your positioning assets, the recommended niche is:</w:t>
      </w:r>
    </w:p>
    <w:p>
      <w:pPr>
        <w:pBdr>
          <w:left w:val="single" w:color="00E5FF" w:sz="12" w:space="8"/>
        </w:pBdr>
        <w:spacing w:before="200" w:after="200" w:line="276"/>
        <w:ind w:left="360"/>
      </w:pPr>
      <w:r>
        <w:rPr>
          <w:rFonts w:ascii="Arial" w:cs="Arial" w:eastAsia="Arial" w:hAnsi="Arial"/>
          <w:i/>
          <w:iCs/>
          <w:color w:val="1A1A1A"/>
          <w:sz w:val="22"/>
          <w:szCs w:val="22"/>
        </w:rPr>
        <w:t xml:space="preserve">Strategic Technology Intelligence for Senior European Professionals — Where Geopolitics Meets Your Career</w:t>
      </w:r>
    </w:p>
    <w:p>
      <w:pPr>
        <w:spacing w:after="160" w:line="276"/>
        <w:jc w:val="left"/>
      </w:pPr>
      <w:r>
        <w:rPr>
          <w:rFonts w:ascii="Arial" w:cs="Arial" w:eastAsia="Arial" w:hAnsi="Arial"/>
          <w:color w:val="4A4A4A"/>
          <w:sz w:val="22"/>
          <w:szCs w:val="22"/>
        </w:rPr>
        <w:t xml:space="preserve">This is not a pure geopolitics channel (Zeihan, CaspianReport, and TLDR already dominate that space with 300K–900K subscribers and polished production). Nor is it a generic career advice channel (saturated with low-authority creators). Your competitive moat is the intersection: applying forensic analysis of technology power shifts to the specific professional decisions that senior people face in 2026.</w:t>
      </w:r>
    </w:p>
    <w:p>
      <w:pPr>
        <w:pStyle w:val="Heading2"/>
        <w:spacing w:before="280" w:after="160"/>
      </w:pPr>
      <w:r>
        <w:rPr>
          <w:rFonts w:ascii="Arial" w:cs="Arial" w:eastAsia="Arial" w:hAnsi="Arial"/>
          <w:b/>
          <w:bCs/>
          <w:color w:val="1A1A1A"/>
          <w:sz w:val="26"/>
          <w:szCs w:val="26"/>
        </w:rPr>
        <w:t xml:space="preserve">1.2 Why This Niche Works for Revenue</w:t>
      </w:r>
    </w:p>
    <w:p>
      <w:pPr>
        <w:spacing w:after="160" w:line="276"/>
        <w:jc w:val="left"/>
      </w:pPr>
      <w:r>
        <w:rPr>
          <w:rFonts w:ascii="Arial" w:cs="Arial" w:eastAsia="Arial" w:hAnsi="Arial"/>
          <w:color w:val="4A4A4A"/>
          <w:sz w:val="22"/>
          <w:szCs w:val="22"/>
        </w:rPr>
        <w:t xml:space="preserve">The data from your YouTube Growth and Revenue Strategy report and current 2026 benchmarks confirm that B2B strategy and technology content commands CPMs of $10–$30, placing it in the top tier alongside finance and legal content. Career transition content targeting senior professionals attracts similar rates because the audience demographic — affluent, 40–60, high purchasing power, Tier-1 geographies — is precisely what advertisers in enterprise software, financial services, and executive education want to reach.</w:t>
      </w:r>
    </w:p>
    <w:p>
      <w:pPr>
        <w:spacing w:after="160" w:line="276"/>
        <w:jc w:val="left"/>
      </w:pPr>
      <w:r>
        <w:rPr>
          <w:rFonts w:ascii="Arial" w:cs="Arial" w:eastAsia="Arial" w:hAnsi="Arial"/>
          <w:color w:val="4A4A4A"/>
          <w:sz w:val="22"/>
          <w:szCs w:val="22"/>
        </w:rPr>
        <w:t xml:space="preserve">Critically, your audience is concentrated in Tier-1 CPM countries: UK ($24 CPM average), Germany ($22), Australia ($36), and the US ($33). A channel with 80% Tier-1 viewership at $15–$25 CPM will outperform a mass-audience channel at $4 CPM by a factor of four to six per view.</w:t>
      </w:r>
    </w:p>
    <w:p>
      <w:pPr>
        <w:pStyle w:val="Heading2"/>
        <w:spacing w:before="280" w:after="160"/>
      </w:pPr>
      <w:r>
        <w:rPr>
          <w:rFonts w:ascii="Arial" w:cs="Arial" w:eastAsia="Arial" w:hAnsi="Arial"/>
          <w:b/>
          <w:bCs/>
          <w:color w:val="1A1A1A"/>
          <w:sz w:val="26"/>
          <w:szCs w:val="26"/>
        </w:rPr>
        <w:t xml:space="preserve">1.3 Competitive Landscape</w:t>
      </w:r>
    </w:p>
    <w:p>
      <w:pPr>
        <w:spacing w:after="160" w:line="276"/>
        <w:jc w:val="left"/>
      </w:pPr>
      <w:r>
        <w:rPr>
          <w:rFonts w:ascii="Arial" w:cs="Arial" w:eastAsia="Arial" w:hAnsi="Arial"/>
          <w:color w:val="4A4A4A"/>
          <w:sz w:val="22"/>
          <w:szCs w:val="22"/>
        </w:rPr>
        <w:t xml:space="preserve">The geopolitics niche on YouTube has a competition score of approximately 24% with strong growth potential. The key established players are generalist geopolitics channels. Nobody is currently occupying the specific intersection of European technology sovereignty, semiconductor supply chain analysis, and senior career strategy with a practitioner’s lens. Channels like Asianometry cover semiconductors with an Asian focus; Zeihan covers broad geopolitical forecasting; TLDR covers news explainers. None apply a proprietary methodology to European industrial decision-making with a career application layer. That gap is your entry point.</w:t>
      </w:r>
    </w:p>
    <w:p>
      <w:pPr>
        <w:pStyle w:val="Heading2"/>
        <w:spacing w:before="280" w:after="160"/>
      </w:pPr>
      <w:r>
        <w:rPr>
          <w:rFonts w:ascii="Arial" w:cs="Arial" w:eastAsia="Arial" w:hAnsi="Arial"/>
          <w:b/>
          <w:bCs/>
          <w:color w:val="1A1A1A"/>
          <w:sz w:val="26"/>
          <w:szCs w:val="26"/>
        </w:rPr>
        <w:t xml:space="preserve">1.4 The Algorithm Consideration</w:t>
      </w:r>
    </w:p>
    <w:p>
      <w:pPr>
        <w:spacing w:after="160" w:line="276"/>
        <w:jc w:val="left"/>
      </w:pPr>
      <w:r>
        <w:rPr>
          <w:rFonts w:ascii="Arial" w:cs="Arial" w:eastAsia="Arial" w:hAnsi="Arial"/>
          <w:color w:val="4A4A4A"/>
          <w:sz w:val="22"/>
          <w:szCs w:val="22"/>
        </w:rPr>
        <w:t xml:space="preserve">YouTube’s 2026 algorithm rewards three signals above all: click-through rate (do people click your thumbnail), retention (do people keep watching), and satisfaction (do people feel they learned something). Your content design must optimise for all three. The unified niche helps because the algorithm can learn who your audience is and recommend consistently. A split-personality channel — geopolitics on Tuesday, generic career tips on Friday — confuses the recommendation engine. When both pillars serve the same viewer identity (experienced professional navigating technology-driven change), the algorithm compounds rather than fragments your reach.</w:t>
      </w:r>
    </w:p>
    <w:p>
      <w:r>
        <w:r>
          <w:br w:type="page"/>
        </w:r>
      </w:r>
    </w:p>
    <w:p>
      <w:pPr>
        <w:pStyle w:val="Heading1"/>
        <w:spacing w:before="360" w:after="200"/>
      </w:pPr>
      <w:r>
        <w:rPr>
          <w:rFonts w:ascii="Arial" w:cs="Arial" w:eastAsia="Arial" w:hAnsi="Arial"/>
          <w:b/>
          <w:bCs/>
          <w:color w:val="1A1A1A"/>
          <w:sz w:val="32"/>
          <w:szCs w:val="32"/>
        </w:rPr>
        <w:t xml:space="preserve">2. Channel Architecture</w:t>
      </w:r>
    </w:p>
    <w:p>
      <w:pPr>
        <w:pStyle w:val="Heading2"/>
        <w:spacing w:before="280" w:after="160"/>
      </w:pPr>
      <w:r>
        <w:rPr>
          <w:rFonts w:ascii="Arial" w:cs="Arial" w:eastAsia="Arial" w:hAnsi="Arial"/>
          <w:b/>
          <w:bCs/>
          <w:color w:val="1A1A1A"/>
          <w:sz w:val="26"/>
          <w:szCs w:val="26"/>
        </w:rPr>
        <w:t xml:space="preserve">2.1 The Unified Channel Thesis</w:t>
      </w:r>
    </w:p>
    <w:p>
      <w:pPr>
        <w:pBdr>
          <w:left w:val="single" w:color="00E5FF" w:sz="12" w:space="8"/>
        </w:pBdr>
        <w:spacing w:before="200" w:after="200" w:line="276"/>
        <w:ind w:left="360"/>
      </w:pPr>
      <w:r>
        <w:rPr>
          <w:rFonts w:ascii="Arial" w:cs="Arial" w:eastAsia="Arial" w:hAnsi="Arial"/>
          <w:i/>
          <w:iCs/>
          <w:color w:val="1A1A1A"/>
          <w:sz w:val="22"/>
          <w:szCs w:val="22"/>
        </w:rPr>
        <w:t xml:space="preserve">"What does this technology power shift mean for your organisation, your industry, and your career?"</w:t>
      </w:r>
    </w:p>
    <w:p>
      <w:pPr>
        <w:spacing w:after="160" w:line="276"/>
        <w:jc w:val="left"/>
      </w:pPr>
      <w:r>
        <w:rPr>
          <w:rFonts w:ascii="Arial" w:cs="Arial" w:eastAsia="Arial" w:hAnsi="Arial"/>
          <w:color w:val="4A4A4A"/>
          <w:sz w:val="22"/>
          <w:szCs w:val="22"/>
        </w:rPr>
        <w:t xml:space="preserve">Every video should answer a version of this question. This thesis unifies your two content pillars under one audience identity and keeps the algorithm feeding your content to the same viewer cluster.</w:t>
      </w:r>
    </w:p>
    <w:p>
      <w:pPr>
        <w:pStyle w:val="Heading2"/>
        <w:spacing w:before="280" w:after="160"/>
      </w:pPr>
      <w:r>
        <w:rPr>
          <w:rFonts w:ascii="Arial" w:cs="Arial" w:eastAsia="Arial" w:hAnsi="Arial"/>
          <w:b/>
          <w:bCs/>
          <w:color w:val="1A1A1A"/>
          <w:sz w:val="26"/>
          <w:szCs w:val="26"/>
        </w:rPr>
        <w:t xml:space="preserve">2.2 The Two Weekly Pillars</w:t>
      </w:r>
    </w:p>
    <w:p>
      <w:pPr>
        <w:spacing w:before="200" w:after="120"/>
      </w:pPr>
      <w:r>
        <w:rPr>
          <w:rFonts w:ascii="Arial" w:cs="Arial" w:eastAsia="Arial" w:hAnsi="Arial"/>
          <w:b/>
          <w:bCs/>
          <w:color w:val="00B8D4"/>
          <w:sz w:val="23"/>
          <w:szCs w:val="23"/>
        </w:rPr>
        <w:t xml:space="preserve">Tuesday: "The Stone Briefing" (Analysis &amp; Intelligence)</w:t>
      </w:r>
    </w:p>
    <w:p>
      <w:pPr>
        <w:spacing w:after="160" w:line="276"/>
        <w:jc w:val="left"/>
      </w:pPr>
      <w:r>
        <w:rPr>
          <w:rFonts w:ascii="Arial" w:cs="Arial" w:eastAsia="Arial" w:hAnsi="Arial"/>
          <w:color w:val="4A4A4A"/>
          <w:sz w:val="22"/>
          <w:szCs w:val="22"/>
        </w:rPr>
        <w:t xml:space="preserve">Format: 12–20 minutes. Talking head with graphics, maps, data overlays, and your Methodology Checklist on screen. This is where the Forensic Technopolitics framework lives on camera. The production style should be sober and authoritative — think intelligence briefing, not news commentary.</w:t>
      </w:r>
    </w:p>
    <w:p>
      <w:pPr>
        <w:spacing w:after="160" w:line="276"/>
        <w:jc w:val="left"/>
      </w:pPr>
      <w:r>
        <w:rPr>
          <w:rFonts w:ascii="Arial" w:cs="Arial" w:eastAsia="Arial" w:hAnsi="Arial"/>
          <w:color w:val="4A4A4A"/>
          <w:sz w:val="22"/>
          <w:szCs w:val="22"/>
        </w:rPr>
        <w:t xml:space="preserve">Target personas: Compliance Clara, Industrial Ian, Sovereign Sofia. This content attracts B2B sponsors and the highest CPM rates. It is also the primary funnel for your Intelligence Series PDF products.</w:t>
      </w:r>
    </w:p>
    <w:p>
      <w:pPr>
        <w:spacing w:after="160" w:line="276"/>
        <w:jc w:val="left"/>
      </w:pPr>
      <w:r>
        <w:rPr>
          <w:rFonts w:ascii="Arial" w:cs="Arial" w:eastAsia="Arial" w:hAnsi="Arial"/>
          <w:color w:val="4A4A4A"/>
          <w:sz w:val="22"/>
          <w:szCs w:val="22"/>
        </w:rPr>
        <w:t xml:space="preserve">Topic examples: "The August 2026 AI Act Cliff — What Your Board Needs to Know," "Why Taiwan Still Keeps European CEOs Awake," "ASML and the Chokepoint Europe Can’t Afford to Lose," "The Atlantic Drift Scorecard — Q2 2026," "What Happens If a US Cloud Provider Exits the EU Market."</w:t>
      </w:r>
    </w:p>
    <w:p>
      <w:pPr>
        <w:spacing w:before="200" w:after="120"/>
      </w:pPr>
      <w:r>
        <w:rPr>
          <w:rFonts w:ascii="Arial" w:cs="Arial" w:eastAsia="Arial" w:hAnsi="Arial"/>
          <w:b/>
          <w:bCs/>
          <w:color w:val="00B8D4"/>
          <w:sz w:val="23"/>
          <w:szCs w:val="23"/>
        </w:rPr>
        <w:t xml:space="preserve">Friday: "The Silicon Move" (Applied &amp; Practical)</w:t>
      </w:r>
    </w:p>
    <w:p>
      <w:pPr>
        <w:spacing w:after="160" w:line="276"/>
        <w:jc w:val="left"/>
      </w:pPr>
      <w:r>
        <w:rPr>
          <w:rFonts w:ascii="Arial" w:cs="Arial" w:eastAsia="Arial" w:hAnsi="Arial"/>
          <w:color w:val="4A4A4A"/>
          <w:sz w:val="22"/>
          <w:szCs w:val="22"/>
        </w:rPr>
        <w:t xml:space="preserve">Format: 10–15 minutes. More varied production — screen share, voice-over with slides, occasional talking head. This is where geopolitical intelligence becomes personal and actionable. It answers: "So what do I actually do about this?"</w:t>
      </w:r>
    </w:p>
    <w:p>
      <w:pPr>
        <w:spacing w:after="160" w:line="276"/>
        <w:jc w:val="left"/>
      </w:pPr>
      <w:r>
        <w:rPr>
          <w:rFonts w:ascii="Arial" w:cs="Arial" w:eastAsia="Arial" w:hAnsi="Arial"/>
          <w:color w:val="4A4A4A"/>
          <w:sz w:val="22"/>
          <w:szCs w:val="22"/>
        </w:rPr>
        <w:t xml:space="preserve">Target personas: Remote Robert, Global Citizen, and all personas in their capacity as individual professionals. This content drives your career-focused digital products, affiliate commissions, and builds the trust relationship that leads to high-ticket conversions.</w:t>
      </w:r>
    </w:p>
    <w:p>
      <w:pPr>
        <w:spacing w:after="160" w:line="276"/>
        <w:jc w:val="left"/>
      </w:pPr>
      <w:r>
        <w:rPr>
          <w:rFonts w:ascii="Arial" w:cs="Arial" w:eastAsia="Arial" w:hAnsi="Arial"/>
          <w:color w:val="4A4A4A"/>
          <w:sz w:val="22"/>
          <w:szCs w:val="22"/>
        </w:rPr>
        <w:t xml:space="preserve">Topic examples: "How to Read a Supply Chain Like a Senior Executive," "AI Fluency for the Over-50 Leader — What Actually Matters," "Your 2026 Career Stress Test — Three Scenarios to Run," "The Sovereign Professional — Why Your Data Strategy Is a Career Strategy," "Building Your Personal Atlantic Drift Plan."</w:t>
      </w:r>
    </w:p>
    <w:p>
      <w:pPr>
        <w:spacing w:before="200" w:after="120"/>
      </w:pPr>
      <w:r>
        <w:rPr>
          <w:rFonts w:ascii="Arial" w:cs="Arial" w:eastAsia="Arial" w:hAnsi="Arial"/>
          <w:b/>
          <w:bCs/>
          <w:color w:val="00B8D4"/>
          <w:sz w:val="23"/>
          <w:szCs w:val="23"/>
        </w:rPr>
        <w:t xml:space="preserve">Shorts: 2–3 Per Week</w:t>
      </w:r>
    </w:p>
    <w:p>
      <w:pPr>
        <w:spacing w:after="160" w:line="276"/>
        <w:jc w:val="left"/>
      </w:pPr>
      <w:r>
        <w:rPr>
          <w:rFonts w:ascii="Arial" w:cs="Arial" w:eastAsia="Arial" w:hAnsi="Arial"/>
          <w:color w:val="4A4A4A"/>
          <w:sz w:val="22"/>
          <w:szCs w:val="22"/>
        </w:rPr>
        <w:t xml:space="preserve">Repurpose clips from long-form content, plus standalone 60-second "Stone Truth" takes on the week’s developments. Shorts RPM is negligible ($0.03–$0.30) but they are the fastest discovery mechanism in 2026. Treat them as subscriber acquisition tools, not revenue generators. Each Short should end with a soft CTA driving viewers to the full-length video.</w:t>
      </w:r>
    </w:p>
    <w:p>
      <w:pPr>
        <w:pStyle w:val="Heading2"/>
        <w:spacing w:before="280" w:after="160"/>
      </w:pPr>
      <w:r>
        <w:rPr>
          <w:rFonts w:ascii="Arial" w:cs="Arial" w:eastAsia="Arial" w:hAnsi="Arial"/>
          <w:b/>
          <w:bCs/>
          <w:color w:val="1A1A1A"/>
          <w:sz w:val="26"/>
          <w:szCs w:val="26"/>
        </w:rPr>
        <w:t xml:space="preserve">2.3 Content Bridge: Connecting Both Pillars</w:t>
      </w:r>
    </w:p>
    <w:p>
      <w:pPr>
        <w:spacing w:after="160" w:line="276"/>
        <w:jc w:val="left"/>
      </w:pPr>
      <w:r>
        <w:rPr>
          <w:rFonts w:ascii="Arial" w:cs="Arial" w:eastAsia="Arial" w:hAnsi="Arial"/>
          <w:color w:val="4A4A4A"/>
          <w:sz w:val="22"/>
          <w:szCs w:val="22"/>
        </w:rPr>
        <w:t xml:space="preserve">The critical design principle is that Tuesday’s analysis creates Friday’s context. If Tuesday covers the semiconductor supply chain chokepoint, Friday covers what that means for a senior operations manager’s career positioning. If Tuesday analyses the AI Act enforcement timeline, Friday covers how compliance professionals should be upskilling. This bridge is what competitors cannot replicate — it requires both the analytical depth and the career-strategy authority.</w:t>
      </w:r>
    </w:p>
    <w:p>
      <w:r>
        <w:r>
          <w:br w:type="page"/>
        </w:r>
      </w:r>
    </w:p>
    <w:p>
      <w:pPr>
        <w:pStyle w:val="Heading1"/>
        <w:spacing w:before="360" w:after="200"/>
      </w:pPr>
      <w:r>
        <w:rPr>
          <w:rFonts w:ascii="Arial" w:cs="Arial" w:eastAsia="Arial" w:hAnsi="Arial"/>
          <w:b/>
          <w:bCs/>
          <w:color w:val="1A1A1A"/>
          <w:sz w:val="32"/>
          <w:szCs w:val="32"/>
        </w:rPr>
        <w:t xml:space="preserve">3. Monetisation Architecture</w:t>
      </w:r>
    </w:p>
    <w:p>
      <w:pPr>
        <w:pStyle w:val="Heading2"/>
        <w:spacing w:before="280" w:after="160"/>
      </w:pPr>
      <w:r>
        <w:rPr>
          <w:rFonts w:ascii="Arial" w:cs="Arial" w:eastAsia="Arial" w:hAnsi="Arial"/>
          <w:b/>
          <w:bCs/>
          <w:color w:val="1A1A1A"/>
          <w:sz w:val="26"/>
          <w:szCs w:val="26"/>
        </w:rPr>
        <w:t xml:space="preserve">3.1 Revenue Stream Hierarchy</w:t>
      </w:r>
    </w:p>
    <w:p>
      <w:pPr>
        <w:spacing w:after="160" w:line="276"/>
        <w:jc w:val="left"/>
      </w:pPr>
      <w:r>
        <w:rPr>
          <w:rFonts w:ascii="Arial" w:cs="Arial" w:eastAsia="Arial" w:hAnsi="Arial"/>
          <w:color w:val="4A4A4A"/>
          <w:sz w:val="22"/>
          <w:szCs w:val="22"/>
        </w:rPr>
        <w:t xml:space="preserve">Based on the research and your stated priorities, here is the recommended revenue stacking order, with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1700"/>
        <w:gridCol w:w="1726"/>
      </w:tblGrid>
      <w:tr>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 Timeline</w:t>
            </w:r>
          </w:p>
        </w:tc>
        <w:tc>
          <w:tcPr>
            <w:tcW w:type="dxa" w:w="17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Free PDF Lead Magnets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Email list building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Month 1</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Affiliate Commissions</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Description links from day one</w:t>
            </w:r>
          </w:p>
        </w:tc>
        <w:tc>
          <w:tcPr>
            <w:tcW w:type="dxa" w:w="17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 1</w:t>
            </w:r>
          </w:p>
        </w:tc>
        <w:tc>
          <w:tcPr>
            <w:tcW w:type="dxa" w:w="17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Paid PDF Intelligence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Gumroad / own store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Month 3–6</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Primary</w:t>
            </w:r>
          </w:p>
        </w:tc>
      </w:tr>
      <w:tr>
        <w:tc>
          <w:tcPr>
            <w:tcW w:type="dxa" w:w="1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Ad Revenue (AdSense)</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YouTube Partner Programme</w:t>
            </w:r>
          </w:p>
        </w:tc>
        <w:tc>
          <w:tcPr>
            <w:tcW w:type="dxa" w:w="17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 4–8</w:t>
            </w:r>
          </w:p>
        </w:tc>
        <w:tc>
          <w:tcPr>
            <w:tcW w:type="dxa" w:w="17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Sponsorships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Dedicated &amp; integrated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Month 12+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Premium Subscription</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Monthly briefing / membership</w:t>
            </w:r>
          </w:p>
        </w:tc>
        <w:tc>
          <w:tcPr>
            <w:tcW w:type="dxa" w:w="17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 12+</w:t>
            </w:r>
          </w:p>
        </w:tc>
        <w:tc>
          <w:tcPr>
            <w:tcW w:type="dxa" w:w="17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Growth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Select Consulting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High-value only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As arises</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Opportunistic</w:t>
            </w:r>
          </w:p>
        </w:tc>
      </w:tr>
    </w:tbl>
    <w:p>
      <w:pPr>
        <w:spacing w:before="80" w:after="80"/>
      </w:pPr>
    </w:p>
    <w:p>
      <w:pPr>
        <w:pStyle w:val="Heading2"/>
        <w:spacing w:before="280" w:after="160"/>
      </w:pPr>
      <w:r>
        <w:rPr>
          <w:rFonts w:ascii="Arial" w:cs="Arial" w:eastAsia="Arial" w:hAnsi="Arial"/>
          <w:b/>
          <w:bCs/>
          <w:color w:val="1A1A1A"/>
          <w:sz w:val="26"/>
          <w:szCs w:val="26"/>
        </w:rPr>
        <w:t xml:space="preserve">3.2 Digital Product Ladder</w:t>
      </w:r>
    </w:p>
    <w:p>
      <w:pPr>
        <w:spacing w:before="200" w:after="120"/>
      </w:pPr>
      <w:r>
        <w:rPr>
          <w:rFonts w:ascii="Arial" w:cs="Arial" w:eastAsia="Arial" w:hAnsi="Arial"/>
          <w:b/>
          <w:bCs/>
          <w:color w:val="00B8D4"/>
          <w:sz w:val="23"/>
          <w:szCs w:val="23"/>
        </w:rPr>
        <w:t xml:space="preserve">Tier 1: Free Lead Magnets (£0, traded for email)</w:t>
      </w:r>
    </w:p>
    <w:p>
      <w:pPr>
        <w:spacing w:after="160" w:line="276"/>
        <w:jc w:val="left"/>
      </w:pPr>
      <w:r>
        <w:rPr>
          <w:rFonts w:ascii="Arial" w:cs="Arial" w:eastAsia="Arial" w:hAnsi="Arial"/>
          <w:color w:val="4A4A4A"/>
          <w:sz w:val="22"/>
          <w:szCs w:val="22"/>
        </w:rPr>
        <w:t xml:space="preserve">Flagship freebie: "The Atlantic Drift Briefing: 5 Supply Chain Chokepoints Every European Executive Should Monitor in 2026." This is a 10–15 page PDF demonstrating your methodology. Rotate seasonal secondary magnets: "The AI Act Compliance Calendar," "The Executive Pivot Checklist for Over-50 Professionals," "The Sovereignty Scorecard Template." Every video from day one should reference one of these.</w:t>
      </w:r>
    </w:p>
    <w:p>
      <w:pPr>
        <w:spacing w:before="200" w:after="120"/>
      </w:pPr>
      <w:r>
        <w:rPr>
          <w:rFonts w:ascii="Arial" w:cs="Arial" w:eastAsia="Arial" w:hAnsi="Arial"/>
          <w:b/>
          <w:bCs/>
          <w:color w:val="00B8D4"/>
          <w:sz w:val="23"/>
          <w:szCs w:val="23"/>
        </w:rPr>
        <w:t xml:space="preserve">Tier 2: Intelligence Series PDFs (£12–£19 each, or bundled)</w:t>
      </w:r>
    </w:p>
    <w:p>
      <w:pPr>
        <w:spacing w:after="160" w:line="276"/>
        <w:jc w:val="left"/>
      </w:pPr>
      <w:r>
        <w:rPr>
          <w:rFonts w:ascii="Arial" w:cs="Arial" w:eastAsia="Arial" w:hAnsi="Arial"/>
          <w:color w:val="4A4A4A"/>
          <w:sz w:val="22"/>
          <w:szCs w:val="22"/>
        </w:rPr>
        <w:t xml:space="preserve">Each guide traces a single product category from raw materials through to finished product, applying your four-pillar methodology consistently. The standard template includes: an executive summary with Stone Truth verdict; a full visual supply chain map; chokepoint analysis; geopolitical exposure assessment; regulatory intersection mapping; and three-tier scenario modelling (low/medium/high friction with estimated commercial impact).</w:t>
      </w:r>
    </w:p>
    <w:p>
      <w:pPr>
        <w:spacing w:after="160" w:line="276"/>
        <w:jc w:val="left"/>
      </w:pPr>
      <w:r>
        <w:rPr>
          <w:rFonts w:ascii="Arial" w:cs="Arial" w:eastAsia="Arial" w:hAnsi="Arial"/>
          <w:color w:val="4A4A4A"/>
          <w:sz w:val="22"/>
          <w:szCs w:val="22"/>
        </w:rPr>
        <w:t xml:space="preserve">Series titles: "The Semiconductor Supply Chain: From Sand to Silicon to Sovereignty," "The Smartphone Supply Chain: Why Your iPhone Is a Geopolitical Object," "The EV and Battery Supply Chain," "The Cloud Infrastructure Supply Chain," "The AI Hardware Supply Chain." Individual pricing at £14.99, with a growing bundle discount reaching an annual subscription.</w:t>
      </w:r>
    </w:p>
    <w:p>
      <w:pPr>
        <w:spacing w:before="200" w:after="120"/>
      </w:pPr>
      <w:r>
        <w:rPr>
          <w:rFonts w:ascii="Arial" w:cs="Arial" w:eastAsia="Arial" w:hAnsi="Arial"/>
          <w:b/>
          <w:bCs/>
          <w:color w:val="00B8D4"/>
          <w:sz w:val="23"/>
          <w:szCs w:val="23"/>
        </w:rPr>
        <w:t xml:space="preserve">Tier 3: Career Framework Products (£19–£49)</w:t>
      </w:r>
    </w:p>
    <w:p>
      <w:pPr>
        <w:spacing w:after="160" w:line="276"/>
        <w:jc w:val="left"/>
      </w:pPr>
      <w:r>
        <w:rPr>
          <w:rFonts w:ascii="Arial" w:cs="Arial" w:eastAsia="Arial" w:hAnsi="Arial"/>
          <w:color w:val="4A4A4A"/>
          <w:sz w:val="22"/>
          <w:szCs w:val="22"/>
        </w:rPr>
        <w:t xml:space="preserve">"The 2026 Executive Pivot Playbook" at £19–£29. "The AI Fluency Framework for Senior Leaders" at £14.99. These should incorporate the ‘Operating Manual’ model from the Digital Channel Strategy research: curriculum plus execution tools, including curated AI prompt libraries that apply your methodology to personal career decisions.</w:t>
      </w:r>
    </w:p>
    <w:p>
      <w:pPr>
        <w:spacing w:before="200" w:after="120"/>
      </w:pPr>
      <w:r>
        <w:rPr>
          <w:rFonts w:ascii="Arial" w:cs="Arial" w:eastAsia="Arial" w:hAnsi="Arial"/>
          <w:b/>
          <w:bCs/>
          <w:color w:val="00B8D4"/>
          <w:sz w:val="23"/>
          <w:szCs w:val="23"/>
        </w:rPr>
        <w:t xml:space="preserve">Tier 4: Premium Products (£47–£97+ / recurring)</w:t>
      </w:r>
    </w:p>
    <w:p>
      <w:pPr>
        <w:spacing w:after="160" w:line="276"/>
        <w:jc w:val="left"/>
      </w:pPr>
      <w:r>
        <w:rPr>
          <w:rFonts w:ascii="Arial" w:cs="Arial" w:eastAsia="Arial" w:hAnsi="Arial"/>
          <w:color w:val="4A4A4A"/>
          <w:sz w:val="22"/>
          <w:szCs w:val="22"/>
        </w:rPr>
        <w:t xml:space="preserve">A monthly or quarterly "Executive Intelligence Briefing" delivered via email or a simple membership platform. Even at £7/month, 500 subscribers generates £3,500/month of recurring revenue. This product practically writes itself from your video research. Bundle with exclusive scenario models and early access to Intelligence Series releases.</w:t>
      </w:r>
    </w:p>
    <w:p>
      <w:pPr>
        <w:pStyle w:val="Heading2"/>
        <w:spacing w:before="280" w:after="160"/>
      </w:pPr>
      <w:r>
        <w:rPr>
          <w:rFonts w:ascii="Arial" w:cs="Arial" w:eastAsia="Arial" w:hAnsi="Arial"/>
          <w:b/>
          <w:bCs/>
          <w:color w:val="1A1A1A"/>
          <w:sz w:val="26"/>
          <w:szCs w:val="26"/>
        </w:rPr>
        <w:t xml:space="preserve">3.3 Affiliate Strategy</w:t>
      </w:r>
    </w:p>
    <w:p>
      <w:pPr>
        <w:spacing w:after="160" w:line="276"/>
        <w:jc w:val="left"/>
      </w:pPr>
      <w:r>
        <w:rPr>
          <w:rFonts w:ascii="Arial" w:cs="Arial" w:eastAsia="Arial" w:hAnsi="Arial"/>
          <w:color w:val="4A4A4A"/>
          <w:sz w:val="22"/>
          <w:szCs w:val="22"/>
        </w:rPr>
        <w:t xml:space="preserve">The Digital Channel Strategy research confirms that hyper-specific, high-ticket affiliate programmes outperform volume-based approaches. Recommended affiliate categories aligned with your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Example Partners</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2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Content Fit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Executive Education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Coursera, MasterClass, Udacity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20–45% per sign-up</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Friday ‘Silicon Move’ videos</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Career Bootcamps</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CourseCareers, Careerist</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£150–£400 per sale</w:t>
            </w:r>
          </w:p>
        </w:tc>
        <w:tc>
          <w:tcPr>
            <w:tcW w:type="dxa" w:w="20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Career pivot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Professional Tools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HubSpot, Notion, Miro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Up to 30% recurring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Productivity demonstrations</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Digital Security</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NordVPN, Surfshark</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Flat fee per sign-up</w:t>
            </w:r>
          </w:p>
        </w:tc>
        <w:tc>
          <w:tcPr>
            <w:tcW w:type="dxa" w:w="20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Data sovereignty videos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Business Scaling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Teachable, ClickFunnels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30–50% recurring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Building digital presence</w:t>
            </w:r>
          </w:p>
        </w:tc>
      </w:tr>
    </w:tbl>
    <w:p>
      <w:pPr>
        <w:spacing w:before="80" w:after="80"/>
      </w:pPr>
    </w:p>
    <w:p>
      <w:pPr>
        <w:pStyle w:val="Heading2"/>
        <w:spacing w:before="280" w:after="160"/>
      </w:pPr>
      <w:r>
        <w:rPr>
          <w:rFonts w:ascii="Arial" w:cs="Arial" w:eastAsia="Arial" w:hAnsi="Arial"/>
          <w:b/>
          <w:bCs/>
          <w:color w:val="1A1A1A"/>
          <w:sz w:val="26"/>
          <w:szCs w:val="26"/>
        </w:rPr>
        <w:t xml:space="preserve">3.4 Sponsorship Strategy</w:t>
      </w:r>
    </w:p>
    <w:p>
      <w:pPr>
        <w:spacing w:after="160" w:line="276"/>
        <w:jc w:val="left"/>
      </w:pPr>
      <w:r>
        <w:rPr>
          <w:rFonts w:ascii="Arial" w:cs="Arial" w:eastAsia="Arial" w:hAnsi="Arial"/>
          <w:color w:val="4A4A4A"/>
          <w:sz w:val="22"/>
          <w:szCs w:val="22"/>
        </w:rPr>
        <w:t xml:space="preserve">Sponsorships become viable once you can demonstrate audience quality, not just quantity. A channel with 5,000 subscribers of senior European professionals is worth more to HubSpot or NordVPN than a channel with 50,000 teenagers. Target sponsor categories:</w:t>
      </w:r>
    </w:p>
    <w:p>
      <w:pPr>
        <w:spacing w:after="160" w:line="276"/>
        <w:jc w:val="left"/>
      </w:pPr>
      <w:r>
        <w:rPr>
          <w:rFonts w:ascii="Arial" w:cs="Arial" w:eastAsia="Arial" w:hAnsi="Arial"/>
          <w:color w:val="4A4A4A"/>
          <w:sz w:val="22"/>
          <w:szCs w:val="22"/>
        </w:rPr>
        <w:t xml:space="preserve">Education and Wellness: Skillshare, MasterClass, BetterHelp. Digital Security: NordVPN, Surfshark, ProtonMail. Fintech and Business: Rocket Money, Moomoo, Hostinger. Enterprise SaaS: HubSpot, Notion, Monday.com. Hardware: Samsung, Ugreen, Anker. A dedicated integration in a Stone Briefing — where a cybersecurity sponsor is woven into a video about European data sovereignty — commands premium rates because it is contextually aligned with the content.</w:t>
      </w:r>
    </w:p>
    <w:p>
      <w:r>
        <w:r>
          <w:br w:type="page"/>
        </w:r>
      </w:r>
    </w:p>
    <w:p>
      <w:pPr>
        <w:pStyle w:val="Heading1"/>
        <w:spacing w:before="360" w:after="200"/>
      </w:pPr>
      <w:r>
        <w:rPr>
          <w:rFonts w:ascii="Arial" w:cs="Arial" w:eastAsia="Arial" w:hAnsi="Arial"/>
          <w:b/>
          <w:bCs/>
          <w:color w:val="1A1A1A"/>
          <w:sz w:val="32"/>
          <w:szCs w:val="32"/>
        </w:rPr>
        <w:t xml:space="preserve">4. Revenue Projections</w:t>
      </w:r>
    </w:p>
    <w:p>
      <w:pPr>
        <w:spacing w:after="160" w:line="276"/>
        <w:jc w:val="left"/>
      </w:pPr>
      <w:r>
        <w:rPr>
          <w:rFonts w:ascii="Arial" w:cs="Arial" w:eastAsia="Arial" w:hAnsi="Arial"/>
          <w:color w:val="4A4A4A"/>
          <w:sz w:val="22"/>
          <w:szCs w:val="22"/>
        </w:rPr>
        <w:t xml:space="preserve">Using the income formula from your Growth and Revenue Strategy research: Income = (Views/1000 × RPM) + (Affiliate Conversions × Commission) + Sponsorship Fee + Digital Product Sales.</w:t>
      </w:r>
    </w:p>
    <w:p>
      <w:pPr>
        <w:pStyle w:val="Heading2"/>
        <w:spacing w:before="280" w:after="160"/>
      </w:pPr>
      <w:r>
        <w:rPr>
          <w:rFonts w:ascii="Arial" w:cs="Arial" w:eastAsia="Arial" w:hAnsi="Arial"/>
          <w:b/>
          <w:bCs/>
          <w:color w:val="1A1A1A"/>
          <w:sz w:val="26"/>
          <w:szCs w:val="26"/>
        </w:rPr>
        <w:t xml:space="preserve">4.1 Phase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Monthly Views</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Ad Revenue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Products + Affiliates</w:t>
            </w:r>
          </w:p>
        </w:tc>
        <w:tc>
          <w:tcPr>
            <w:tcW w:type="dxa" w:w="1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Total 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Months 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5,000–20,000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£0 (pre-YPP)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£50–£300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£50–£300</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Months 6–12</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20,000–100,000</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£100–£600</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£500–£2,000</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£600–£2,600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Months 12–18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100,000–300,000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£600–£2,400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£2,000–£6,000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£2,600–£8,400</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Months 18–24</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300,000–500,000</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£2,400–£4,000</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£5,000–£12,000</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£7,400–£16,000</w:t>
            </w:r>
          </w:p>
        </w:tc>
      </w:tr>
    </w:tbl>
    <w:p>
      <w:pPr>
        <w:spacing w:before="80" w:after="80"/>
      </w:pPr>
    </w:p>
    <w:p>
      <w:pPr>
        <w:spacing w:after="160" w:line="276"/>
        <w:jc w:val="left"/>
      </w:pPr>
      <w:r>
        <w:rPr>
          <w:rFonts w:ascii="Arial" w:cs="Arial" w:eastAsia="Arial" w:hAnsi="Arial"/>
          <w:color w:val="4A4A4A"/>
          <w:sz w:val="22"/>
          <w:szCs w:val="22"/>
        </w:rPr>
        <w:t xml:space="preserve">These projections assume UK-weighted RPM of £6–£8 (conservative for the B2B/technology niche) and a modest digital product conversion rate. The key insight from the research remains: for specialised creators, the majority of income comes from the value of the conversion, not the volume of views.</w:t>
      </w:r>
    </w:p>
    <w:p>
      <w:r>
        <w:r>
          <w:br w:type="page"/>
        </w:r>
      </w:r>
    </w:p>
    <w:p>
      <w:pPr>
        <w:pStyle w:val="Heading1"/>
        <w:spacing w:before="360" w:after="200"/>
      </w:pPr>
      <w:r>
        <w:rPr>
          <w:rFonts w:ascii="Arial" w:cs="Arial" w:eastAsia="Arial" w:hAnsi="Arial"/>
          <w:b/>
          <w:bCs/>
          <w:color w:val="1A1A1A"/>
          <w:sz w:val="32"/>
          <w:szCs w:val="32"/>
        </w:rPr>
        <w:t xml:space="preserve">5. Content Calendar: First 12 Weeks</w:t>
      </w:r>
    </w:p>
    <w:p>
      <w:pPr>
        <w:spacing w:after="160" w:line="276"/>
        <w:jc w:val="left"/>
      </w:pPr>
      <w:r>
        <w:rPr>
          <w:rFonts w:ascii="Arial" w:cs="Arial" w:eastAsia="Arial" w:hAnsi="Arial"/>
          <w:color w:val="4A4A4A"/>
          <w:sz w:val="22"/>
          <w:szCs w:val="22"/>
        </w:rPr>
        <w:t xml:space="preserve">This calendar provides the launch sequence. Each Tuesday Stone Briefing creates context for Friday’s Silicon Move. Each pair is designed to drive a specific digital product or lead magnet.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1826"/>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Tuesday: Stone Briefing</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Friday: Silicon Move</w:t>
            </w:r>
          </w:p>
        </w:tc>
        <w:tc>
          <w:tcPr>
            <w:tcW w:type="dxa" w:w="1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Product Tie-in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"The Atlantic Drift: Why 2026 Is the Year Europe Must Choose"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"What the Atlantic Drift Means for Your Career in 2026"</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Free lead magnet</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"The Semiconductor Supply Chain: Where Europe Is Exposed"</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"How to Read a Supply Chain Like a Senior Executive"</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Free lead magnet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"The AI Act Enforcement Cliff — August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"AI Act Compliance: What You Need on Your CV by August"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Free compliance calendar</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"ASML: The Chokepoint Europe Can’t Afford to Lose"</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"Why Supply Chain Literacy Is the New Executive Currency"</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Semiconductor PDF pre-sell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"Taiwan Choke Point: The 2026 Vulnerability 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"Three Career Scenarios Every Senior Professional Should Model"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Career playbook pre-sell</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6</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"The Donroe Doctrine: America’s Western Hemisphere Pivot"</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"When Your Cloud Provider Might Leave Europe — A Personal Readiness Guide"</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Cloud infrastructure PDF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"Neon, Palladium, Rare Earths: The Materials That Run Your World"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"AI Fluency for the Over-50 Leader: What Actually Matters"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AI fluency framework</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8</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"European Chip Strategy: ESMC, STMicro, and the Sovereignty Play"</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"Positioning Yourself in the European Tech Sovereignty Boom"</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Semiconductor PDF launch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"The iPhone Supply Chain: A Geopolitical Autopsy"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"The Smartphone Supply Chain Explained for Non-Engineers"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Smartphone PDF pre-sell</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10</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"US Export Controls: What European Industry Needs to Know"</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"How Export Controls Reshape Your Procurement Career"</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Operations persona content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"Scotland’s Green Grid: Energy Sovereignty at the 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"The Sovereign Professional: Why Your Data Strategy Is a Career Strategy"</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Premium membership tease</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12</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"Q2 2026 Atlantic Drift Scorecard"</w:t>
            </w:r>
          </w:p>
        </w:tc>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"Your Personal Atlantic Drift Plan: A Quarterly Career Audit"</w:t>
            </w:r>
          </w:p>
        </w:tc>
        <w:tc>
          <w:tcPr>
            <w:tcW w:type="dxa" w:w="18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Career playbook launch</w:t>
            </w:r>
          </w:p>
        </w:tc>
      </w:tr>
    </w:tbl>
    <w:p>
      <w:r>
        <w:r>
          <w:br w:type="page"/>
        </w:r>
      </w:r>
    </w:p>
    <w:p>
      <w:pPr>
        <w:pStyle w:val="Heading1"/>
        <w:spacing w:before="360" w:after="200"/>
      </w:pPr>
      <w:r>
        <w:rPr>
          <w:rFonts w:ascii="Arial" w:cs="Arial" w:eastAsia="Arial" w:hAnsi="Arial"/>
          <w:b/>
          <w:bCs/>
          <w:color w:val="1A1A1A"/>
          <w:sz w:val="32"/>
          <w:szCs w:val="32"/>
        </w:rPr>
        <w:t xml:space="preserve">6. Digital Channel Strategy Insights Applied</w:t>
      </w:r>
    </w:p>
    <w:p>
      <w:pPr>
        <w:spacing w:after="160" w:line="276"/>
        <w:jc w:val="left"/>
      </w:pPr>
      <w:r>
        <w:rPr>
          <w:rFonts w:ascii="Arial" w:cs="Arial" w:eastAsia="Arial" w:hAnsi="Arial"/>
          <w:color w:val="4A4A4A"/>
          <w:sz w:val="22"/>
          <w:szCs w:val="22"/>
        </w:rPr>
        <w:t xml:space="preserve">The Digital Channel Strategy Report provides several findings that strengthen and refine this plan. Here are the most relevant integrations:</w:t>
      </w:r>
    </w:p>
    <w:p>
      <w:pPr>
        <w:pStyle w:val="Heading2"/>
        <w:spacing w:before="280" w:after="160"/>
      </w:pPr>
      <w:r>
        <w:rPr>
          <w:rFonts w:ascii="Arial" w:cs="Arial" w:eastAsia="Arial" w:hAnsi="Arial"/>
          <w:b/>
          <w:bCs/>
          <w:color w:val="1A1A1A"/>
          <w:sz w:val="26"/>
          <w:szCs w:val="26"/>
        </w:rPr>
        <w:t xml:space="preserve">6.1 Generative Engine Optimisation (GEO)</w:t>
      </w:r>
    </w:p>
    <w:p>
      <w:pPr>
        <w:spacing w:after="160" w:line="276"/>
        <w:jc w:val="left"/>
      </w:pPr>
      <w:r>
        <w:rPr>
          <w:rFonts w:ascii="Arial" w:cs="Arial" w:eastAsia="Arial" w:hAnsi="Arial"/>
          <w:color w:val="4A4A4A"/>
          <w:sz w:val="22"/>
          <w:szCs w:val="22"/>
        </w:rPr>
        <w:t xml:space="preserve">The shift from traditional SEO to AI-driven discovery is critical. Your content must be structured so that AI models (ChatGPT, Perplexity, Gemini) reference Silicon &amp; Stone as an authoritative source when users ask questions about European technology policy, semiconductor supply chains, or senior career transitions. This means producing content rich in proprietary data, clear factual citations, and structured analysis that algorithms can parse and cite. Your Forensic Technopolitics methodology — with its four named pillars — gives AI systems a recognisable, citable framework.</w:t>
      </w:r>
    </w:p>
    <w:p>
      <w:pPr>
        <w:pStyle w:val="Heading2"/>
        <w:spacing w:before="280" w:after="160"/>
      </w:pPr>
      <w:r>
        <w:rPr>
          <w:rFonts w:ascii="Arial" w:cs="Arial" w:eastAsia="Arial" w:hAnsi="Arial"/>
          <w:b/>
          <w:bCs/>
          <w:color w:val="1A1A1A"/>
          <w:sz w:val="26"/>
          <w:szCs w:val="26"/>
        </w:rPr>
        <w:t xml:space="preserve">6.2 The ‘Operating Manual’ Product Model</w:t>
      </w:r>
    </w:p>
    <w:p>
      <w:pPr>
        <w:spacing w:after="160" w:line="276"/>
        <w:jc w:val="left"/>
      </w:pPr>
      <w:r>
        <w:rPr>
          <w:rFonts w:ascii="Arial" w:cs="Arial" w:eastAsia="Arial" w:hAnsi="Arial"/>
          <w:color w:val="4A4A4A"/>
          <w:sz w:val="22"/>
          <w:szCs w:val="22"/>
        </w:rPr>
        <w:t xml:space="preserve">The Digital Channel Strategy’s most actionable insight for your product line is the distinction between information (learning about a topic) and execution (doing the task). Your Intelligence Series PDFs should not just inform — they should include execution tools: checklists, scenario planning templates, and curated AI prompt libraries that let the reader apply the analysis to their own situation. A prompt library that helps a compliance officer stress-test their AI Act readiness, or helps an operations manager map their supply chain vulnerabilities, transforms a static PDF into a dynamic tool worth significantly more.</w:t>
      </w:r>
    </w:p>
    <w:p>
      <w:pPr>
        <w:pStyle w:val="Heading2"/>
        <w:spacing w:before="280" w:after="160"/>
      </w:pPr>
      <w:r>
        <w:rPr>
          <w:rFonts w:ascii="Arial" w:cs="Arial" w:eastAsia="Arial" w:hAnsi="Arial"/>
          <w:b/>
          <w:bCs/>
          <w:color w:val="1A1A1A"/>
          <w:sz w:val="26"/>
          <w:szCs w:val="26"/>
        </w:rPr>
        <w:t xml:space="preserve">6.3 The ‘Stealth Applicant’ Behaviour</w:t>
      </w:r>
    </w:p>
    <w:p>
      <w:pPr>
        <w:spacing w:after="160" w:line="276"/>
        <w:jc w:val="left"/>
      </w:pPr>
      <w:r>
        <w:rPr>
          <w:rFonts w:ascii="Arial" w:cs="Arial" w:eastAsia="Arial" w:hAnsi="Arial"/>
          <w:color w:val="4A4A4A"/>
          <w:sz w:val="22"/>
          <w:szCs w:val="22"/>
        </w:rPr>
        <w:t xml:space="preserve">Research confirms that in 2026, a majority of high-intent learners conduct research quietly across multiple platforms before engaging with a brand. Your audience — senior professionals — are quintessential stealth applicants. They will watch several videos, check your website, read your LinkedIn, and possibly consume a free PDF before they ever subscribe or purchase. This means brand consistency across every touchpoint is essential, and your free content must be genuinely valuable to build trust during this silent evaluation period.</w:t>
      </w:r>
    </w:p>
    <w:p>
      <w:pPr>
        <w:pStyle w:val="Heading2"/>
        <w:spacing w:before="280" w:after="160"/>
      </w:pPr>
      <w:r>
        <w:rPr>
          <w:rFonts w:ascii="Arial" w:cs="Arial" w:eastAsia="Arial" w:hAnsi="Arial"/>
          <w:b/>
          <w:bCs/>
          <w:color w:val="1A1A1A"/>
          <w:sz w:val="26"/>
          <w:szCs w:val="26"/>
        </w:rPr>
        <w:t xml:space="preserve">6.4 Hyper-Specific Digital Products Over Generic PDFs</w:t>
      </w:r>
    </w:p>
    <w:p>
      <w:pPr>
        <w:spacing w:after="160" w:line="276"/>
        <w:jc w:val="left"/>
      </w:pPr>
      <w:r>
        <w:rPr>
          <w:rFonts w:ascii="Arial" w:cs="Arial" w:eastAsia="Arial" w:hAnsi="Arial"/>
          <w:color w:val="4A4A4A"/>
          <w:sz w:val="22"/>
          <w:szCs w:val="22"/>
        </w:rPr>
        <w:t xml:space="preserve">The Digital Channel Strategy is emphatic that generic PDFs will not sell in 2026. Buyer expectations have evolved; they want hyper-specific solutions that deliver a clear win quickly. This validates your supply chain intelligence series approach — each PDF solves one specific knowledge gap for one specific professional challenge. "The Semiconductor Supply Chain" is not a generic technology overview; it is a forensic analysis that an operations manager can use to brief their board. That specificity is what justifies the price and earns repeat purchases.</w:t>
      </w:r>
    </w:p>
    <w:p>
      <w:pPr>
        <w:pStyle w:val="Heading2"/>
        <w:spacing w:before="280" w:after="160"/>
      </w:pPr>
      <w:r>
        <w:rPr>
          <w:rFonts w:ascii="Arial" w:cs="Arial" w:eastAsia="Arial" w:hAnsi="Arial"/>
          <w:b/>
          <w:bCs/>
          <w:color w:val="1A1A1A"/>
          <w:sz w:val="26"/>
          <w:szCs w:val="26"/>
        </w:rPr>
        <w:t xml:space="preserve">6.5 Mobile-First and Community</w:t>
      </w:r>
    </w:p>
    <w:p>
      <w:pPr>
        <w:spacing w:after="160" w:line="276"/>
        <w:jc w:val="left"/>
      </w:pPr>
      <w:r>
        <w:rPr>
          <w:rFonts w:ascii="Arial" w:cs="Arial" w:eastAsia="Arial" w:hAnsi="Arial"/>
          <w:color w:val="4A4A4A"/>
          <w:sz w:val="22"/>
          <w:szCs w:val="22"/>
        </w:rPr>
        <w:t xml:space="preserve">While your primary audience will likely discover you on desktop (senior professionals during working hours), consumption increasingly happens on mobile. Ensure all PDFs are readable on mobile devices. Consider a community element — even a simple LinkedIn group or private Substack community — to provide the peer connection that drives retention and reduces subscription churn in any future membership tier.</w:t>
      </w:r>
    </w:p>
    <w:p>
      <w:r>
        <w:r>
          <w:br w:type="page"/>
        </w:r>
      </w:r>
    </w:p>
    <w:p>
      <w:pPr>
        <w:pStyle w:val="Heading1"/>
        <w:spacing w:before="360" w:after="200"/>
      </w:pPr>
      <w:r>
        <w:rPr>
          <w:rFonts w:ascii="Arial" w:cs="Arial" w:eastAsia="Arial" w:hAnsi="Arial"/>
          <w:b/>
          <w:bCs/>
          <w:color w:val="1A1A1A"/>
          <w:sz w:val="32"/>
          <w:szCs w:val="32"/>
        </w:rPr>
        <w:t xml:space="preserve">7. Production Workflow</w:t>
      </w:r>
    </w:p>
    <w:p>
      <w:pPr>
        <w:pStyle w:val="Heading2"/>
        <w:spacing w:before="280" w:after="160"/>
      </w:pPr>
      <w:r>
        <w:rPr>
          <w:rFonts w:ascii="Arial" w:cs="Arial" w:eastAsia="Arial" w:hAnsi="Arial"/>
          <w:b/>
          <w:bCs/>
          <w:color w:val="1A1A1A"/>
          <w:sz w:val="26"/>
          <w:szCs w:val="26"/>
        </w:rPr>
        <w:t xml:space="preserve">7.1 Weekly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6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Monday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Research, script writing, methodology audit for Tuesday video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Completed Tuesday script</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Tuesday</w:t>
            </w:r>
          </w:p>
        </w:tc>
        <w:tc>
          <w:tcPr>
            <w:tcW w:type="dxa" w:w="3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Film and publish Stone Briefing; clip 1–2 Shorts</w:t>
            </w:r>
          </w:p>
        </w:tc>
        <w:tc>
          <w:tcPr>
            <w:tcW w:type="dxa" w:w="36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1 long-form + 1–2 Shorts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Wednesday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Research and script Friday video; digital product work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Completed Friday script</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Thursday</w:t>
            </w:r>
          </w:p>
        </w:tc>
        <w:tc>
          <w:tcPr>
            <w:tcW w:type="dxa" w:w="3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Film Friday video; edit; prepare thumbnails and descriptions</w:t>
            </w:r>
          </w:p>
        </w:tc>
        <w:tc>
          <w:tcPr>
            <w:tcW w:type="dxa" w:w="36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Ready-to-publish Friday video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Friday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Publish Silicon Move; clip 1 Short; community engagement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1 long-form + 1 Short</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Weekend</w:t>
            </w:r>
          </w:p>
        </w:tc>
        <w:tc>
          <w:tcPr>
            <w:tcW w:type="dxa" w:w="3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Batch digital product creation; quarterly planning; rest</w:t>
            </w:r>
          </w:p>
        </w:tc>
        <w:tc>
          <w:tcPr>
            <w:tcW w:type="dxa" w:w="36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Product development</w:t>
            </w:r>
          </w:p>
        </w:tc>
      </w:tr>
    </w:tbl>
    <w:p>
      <w:pPr>
        <w:spacing w:before="80" w:after="80"/>
      </w:pPr>
    </w:p>
    <w:p>
      <w:pPr>
        <w:pStyle w:val="Heading2"/>
        <w:spacing w:before="280" w:after="160"/>
      </w:pPr>
      <w:r>
        <w:rPr>
          <w:rFonts w:ascii="Arial" w:cs="Arial" w:eastAsia="Arial" w:hAnsi="Arial"/>
          <w:b/>
          <w:bCs/>
          <w:color w:val="1A1A1A"/>
          <w:sz w:val="26"/>
          <w:szCs w:val="26"/>
        </w:rPr>
        <w:t xml:space="preserve">7.2 Video Structure Template</w:t>
      </w:r>
    </w:p>
    <w:p>
      <w:pPr>
        <w:spacing w:after="160" w:line="276"/>
        <w:jc w:val="left"/>
      </w:pPr>
      <w:r>
        <w:rPr>
          <w:rFonts w:ascii="Arial" w:cs="Arial" w:eastAsia="Arial" w:hAnsi="Arial"/>
          <w:color w:val="4A4A4A"/>
          <w:sz w:val="22"/>
          <w:szCs w:val="22"/>
        </w:rPr>
        <w:t xml:space="preserve">Every long-form video should follow this structure, adapted from the research on high-retention educational content:</w:t>
      </w:r>
    </w:p>
    <w:p>
      <w:pPr>
        <w:pStyle w:val="ListParagraph"/>
        <w:numPr>
          <w:ilvl w:val="0"/>
          <w:numId w:val="2"/>
        </w:numPr>
        <w:spacing w:after="100" w:line="276"/>
      </w:pPr>
      <w:r>
        <w:rPr>
          <w:rFonts w:ascii="Arial" w:cs="Arial" w:eastAsia="Arial" w:hAnsi="Arial"/>
          <w:color w:val="4A4A4A"/>
          <w:sz w:val="22"/>
          <w:szCs w:val="22"/>
        </w:rPr>
        <w:t xml:space="preserve">Hook (0–5 seconds): Open with a provocative statement or question. No intros, no logos, no fluff.</w:t>
      </w:r>
    </w:p>
    <w:p>
      <w:pPr>
        <w:pStyle w:val="ListParagraph"/>
        <w:numPr>
          <w:ilvl w:val="0"/>
          <w:numId w:val="2"/>
        </w:numPr>
        <w:spacing w:after="100" w:line="276"/>
      </w:pPr>
      <w:r>
        <w:rPr>
          <w:rFonts w:ascii="Arial" w:cs="Arial" w:eastAsia="Arial" w:hAnsi="Arial"/>
          <w:color w:val="4A4A4A"/>
          <w:sz w:val="22"/>
          <w:szCs w:val="22"/>
        </w:rPr>
        <w:t xml:space="preserve">Stakes (5–15 seconds): Why this matters to the viewer’s career or organisation.</w:t>
      </w:r>
    </w:p>
    <w:p>
      <w:pPr>
        <w:pStyle w:val="ListParagraph"/>
        <w:numPr>
          <w:ilvl w:val="0"/>
          <w:numId w:val="2"/>
        </w:numPr>
        <w:spacing w:after="100" w:line="276"/>
      </w:pPr>
      <w:r>
        <w:rPr>
          <w:rFonts w:ascii="Arial" w:cs="Arial" w:eastAsia="Arial" w:hAnsi="Arial"/>
          <w:color w:val="4A4A4A"/>
          <w:sz w:val="22"/>
          <w:szCs w:val="22"/>
        </w:rPr>
        <w:t xml:space="preserve">Methodology Checklist (15–30 seconds): Briefly show which pillars of the Forensic Technopolitics framework are applied.</w:t>
      </w:r>
    </w:p>
    <w:p>
      <w:pPr>
        <w:pStyle w:val="ListParagraph"/>
        <w:numPr>
          <w:ilvl w:val="0"/>
          <w:numId w:val="2"/>
        </w:numPr>
        <w:spacing w:after="100" w:line="276"/>
      </w:pPr>
      <w:r>
        <w:rPr>
          <w:rFonts w:ascii="Arial" w:cs="Arial" w:eastAsia="Arial" w:hAnsi="Arial"/>
          <w:color w:val="4A4A4A"/>
          <w:sz w:val="22"/>
          <w:szCs w:val="22"/>
        </w:rPr>
        <w:t xml:space="preserve">Core Analysis (main body): The substantive content, structured around your four pillars.</w:t>
      </w:r>
    </w:p>
    <w:p>
      <w:pPr>
        <w:pStyle w:val="ListParagraph"/>
        <w:numPr>
          <w:ilvl w:val="0"/>
          <w:numId w:val="2"/>
        </w:numPr>
        <w:spacing w:after="100" w:line="276"/>
      </w:pPr>
      <w:r>
        <w:rPr>
          <w:rFonts w:ascii="Arial" w:cs="Arial" w:eastAsia="Arial" w:hAnsi="Arial"/>
          <w:color w:val="4A4A4A"/>
          <w:sz w:val="22"/>
          <w:szCs w:val="22"/>
        </w:rPr>
        <w:t xml:space="preserve">Stone Truth (final 60 seconds): The bottom-line verdict — a clear, quotable statement.</w:t>
      </w:r>
    </w:p>
    <w:p>
      <w:pPr>
        <w:pStyle w:val="ListParagraph"/>
        <w:numPr>
          <w:ilvl w:val="0"/>
          <w:numId w:val="2"/>
        </w:numPr>
        <w:spacing w:after="160" w:line="276"/>
      </w:pPr>
      <w:r>
        <w:rPr>
          <w:rFonts w:ascii="Arial" w:cs="Arial" w:eastAsia="Arial" w:hAnsi="Arial"/>
          <w:color w:val="4A4A4A"/>
          <w:sz w:val="22"/>
          <w:szCs w:val="22"/>
        </w:rPr>
        <w:t xml:space="preserve">CTA: Drive to lead magnet, digital product, or related video. Never more than one CTA.</w:t>
      </w:r>
    </w:p>
    <w:p>
      <w:pPr>
        <w:pStyle w:val="Heading2"/>
        <w:spacing w:before="280" w:after="160"/>
      </w:pPr>
      <w:r>
        <w:rPr>
          <w:rFonts w:ascii="Arial" w:cs="Arial" w:eastAsia="Arial" w:hAnsi="Arial"/>
          <w:b/>
          <w:bCs/>
          <w:color w:val="1A1A1A"/>
          <w:sz w:val="26"/>
          <w:szCs w:val="26"/>
        </w:rPr>
        <w:t xml:space="preserve">7.3 Thumbnail and Title Principles</w:t>
      </w:r>
    </w:p>
    <w:p>
      <w:pPr>
        <w:spacing w:after="160" w:line="276"/>
        <w:jc w:val="left"/>
      </w:pPr>
      <w:r>
        <w:rPr>
          <w:rFonts w:ascii="Arial" w:cs="Arial" w:eastAsia="Arial" w:hAnsi="Arial"/>
          <w:color w:val="4A4A4A"/>
          <w:sz w:val="22"/>
          <w:szCs w:val="22"/>
        </w:rPr>
        <w:t xml:space="preserve">Thumbnails: Use the Stone palette with Silicon cyan accents. Maximum three words of text on the thumbnail. Use contrast and a clear focal point. For talking-head videos, include your face — trust is built through recognition. Titles: Front-load the keyword within the first 50 characters. Use specificity over vagueness. "The AI Act Enforcement Cliff — August 2026" outperforms "Everything You Need to Know About AI Regulation."</w:t>
      </w:r>
    </w:p>
    <w:p>
      <w:r>
        <w:r>
          <w:br w:type="page"/>
        </w:r>
      </w:r>
    </w:p>
    <w:p>
      <w:pPr>
        <w:pStyle w:val="Heading1"/>
        <w:spacing w:before="360" w:after="200"/>
      </w:pPr>
      <w:r>
        <w:rPr>
          <w:rFonts w:ascii="Arial" w:cs="Arial" w:eastAsia="Arial" w:hAnsi="Arial"/>
          <w:b/>
          <w:bCs/>
          <w:color w:val="1A1A1A"/>
          <w:sz w:val="32"/>
          <w:szCs w:val="32"/>
        </w:rPr>
        <w:t xml:space="preserve">8. Strategic Recommendations</w:t>
      </w:r>
    </w:p>
    <w:p>
      <w:pPr>
        <w:pStyle w:val="Heading2"/>
        <w:spacing w:before="280" w:after="160"/>
      </w:pPr>
      <w:r>
        <w:rPr>
          <w:rFonts w:ascii="Arial" w:cs="Arial" w:eastAsia="Arial" w:hAnsi="Arial"/>
          <w:b/>
          <w:bCs/>
          <w:color w:val="1A1A1A"/>
          <w:sz w:val="26"/>
          <w:szCs w:val="26"/>
        </w:rPr>
        <w:t xml:space="preserve">8.1 Immediate Actions (Weeks 1–4)</w:t>
      </w:r>
    </w:p>
    <w:p>
      <w:pPr>
        <w:pStyle w:val="ListParagraph"/>
        <w:numPr>
          <w:ilvl w:val="0"/>
          <w:numId w:val="3"/>
        </w:numPr>
        <w:spacing w:after="100" w:line="276"/>
      </w:pPr>
      <w:r>
        <w:rPr>
          <w:rFonts w:ascii="Arial" w:cs="Arial" w:eastAsia="Arial" w:hAnsi="Arial"/>
          <w:color w:val="4A4A4A"/>
          <w:sz w:val="22"/>
          <w:szCs w:val="22"/>
        </w:rPr>
        <w:t xml:space="preserve">Finalise the channel name, branding, and About section. Silicon &amp; Stone as the brand, you as the named voice and face.</w:t>
      </w:r>
    </w:p>
    <w:p>
      <w:pPr>
        <w:pStyle w:val="ListParagraph"/>
        <w:numPr>
          <w:ilvl w:val="0"/>
          <w:numId w:val="3"/>
        </w:numPr>
        <w:spacing w:after="100" w:line="276"/>
      </w:pPr>
      <w:r>
        <w:rPr>
          <w:rFonts w:ascii="Arial" w:cs="Arial" w:eastAsia="Arial" w:hAnsi="Arial"/>
          <w:color w:val="4A4A4A"/>
          <w:sz w:val="22"/>
          <w:szCs w:val="22"/>
        </w:rPr>
        <w:t xml:space="preserve">Produce the flagship free lead magnet PDF (Atlantic Drift Briefing) before your first video.</w:t>
      </w:r>
    </w:p>
    <w:p>
      <w:pPr>
        <w:pStyle w:val="ListParagraph"/>
        <w:numPr>
          <w:ilvl w:val="0"/>
          <w:numId w:val="3"/>
        </w:numPr>
        <w:spacing w:after="100" w:line="276"/>
      </w:pPr>
      <w:r>
        <w:rPr>
          <w:rFonts w:ascii="Arial" w:cs="Arial" w:eastAsia="Arial" w:hAnsi="Arial"/>
          <w:color w:val="4A4A4A"/>
          <w:sz w:val="22"/>
          <w:szCs w:val="22"/>
        </w:rPr>
        <w:t xml:space="preserve">Set up email capture (ConvertKit, Substack, or Beehiiv) and a Gumroad storefront for digital products.</w:t>
      </w:r>
    </w:p>
    <w:p>
      <w:pPr>
        <w:pStyle w:val="ListParagraph"/>
        <w:numPr>
          <w:ilvl w:val="0"/>
          <w:numId w:val="3"/>
        </w:numPr>
        <w:spacing w:after="100" w:line="276"/>
      </w:pPr>
      <w:r>
        <w:rPr>
          <w:rFonts w:ascii="Arial" w:cs="Arial" w:eastAsia="Arial" w:hAnsi="Arial"/>
          <w:color w:val="4A4A4A"/>
          <w:sz w:val="22"/>
          <w:szCs w:val="22"/>
        </w:rPr>
        <w:t xml:space="preserve">Film and publish your first four videos (Weeks 1–2 from the content calendar). Quality over perfection — most creators see real momentum after 20–50 videos.</w:t>
      </w:r>
    </w:p>
    <w:p>
      <w:pPr>
        <w:pStyle w:val="ListParagraph"/>
        <w:numPr>
          <w:ilvl w:val="0"/>
          <w:numId w:val="3"/>
        </w:numPr>
        <w:spacing w:after="160" w:line="276"/>
      </w:pPr>
      <w:r>
        <w:rPr>
          <w:rFonts w:ascii="Arial" w:cs="Arial" w:eastAsia="Arial" w:hAnsi="Arial"/>
          <w:color w:val="4A4A4A"/>
          <w:sz w:val="22"/>
          <w:szCs w:val="22"/>
        </w:rPr>
        <w:t xml:space="preserve">Apply for relevant affiliate programmes immediately — links can be in descriptions from day one.</w:t>
      </w:r>
    </w:p>
    <w:p>
      <w:pPr>
        <w:pStyle w:val="Heading2"/>
        <w:spacing w:before="280" w:after="160"/>
      </w:pPr>
      <w:r>
        <w:rPr>
          <w:rFonts w:ascii="Arial" w:cs="Arial" w:eastAsia="Arial" w:hAnsi="Arial"/>
          <w:b/>
          <w:bCs/>
          <w:color w:val="1A1A1A"/>
          <w:sz w:val="26"/>
          <w:szCs w:val="26"/>
        </w:rPr>
        <w:t xml:space="preserve">8.2 Growth Phase Actions (Months 2–6)</w:t>
      </w:r>
    </w:p>
    <w:p>
      <w:pPr>
        <w:pStyle w:val="ListParagraph"/>
        <w:numPr>
          <w:ilvl w:val="0"/>
          <w:numId w:val="4"/>
        </w:numPr>
        <w:spacing w:after="100" w:line="276"/>
      </w:pPr>
      <w:r>
        <w:rPr>
          <w:rFonts w:ascii="Arial" w:cs="Arial" w:eastAsia="Arial" w:hAnsi="Arial"/>
          <w:color w:val="4A4A4A"/>
          <w:sz w:val="22"/>
          <w:szCs w:val="22"/>
        </w:rPr>
        <w:t xml:space="preserve">Launch your first paid Intelligence Series PDF (The Semiconductor Supply Chain guide) around Week 8.</w:t>
      </w:r>
    </w:p>
    <w:p>
      <w:pPr>
        <w:pStyle w:val="ListParagraph"/>
        <w:numPr>
          <w:ilvl w:val="0"/>
          <w:numId w:val="4"/>
        </w:numPr>
        <w:spacing w:after="100" w:line="276"/>
      </w:pPr>
      <w:r>
        <w:rPr>
          <w:rFonts w:ascii="Arial" w:cs="Arial" w:eastAsia="Arial" w:hAnsi="Arial"/>
          <w:color w:val="4A4A4A"/>
          <w:sz w:val="22"/>
          <w:szCs w:val="22"/>
        </w:rPr>
        <w:t xml:space="preserve">Establish a LinkedIn presence that mirrors the channel. Share short-form written versions of your Stone Truth verdicts. LinkedIn is where your target audience lives professionally.</w:t>
      </w:r>
    </w:p>
    <w:p>
      <w:pPr>
        <w:pStyle w:val="ListParagraph"/>
        <w:numPr>
          <w:ilvl w:val="0"/>
          <w:numId w:val="4"/>
        </w:numPr>
        <w:spacing w:after="100" w:line="276"/>
      </w:pPr>
      <w:r>
        <w:rPr>
          <w:rFonts w:ascii="Arial" w:cs="Arial" w:eastAsia="Arial" w:hAnsi="Arial"/>
          <w:color w:val="4A4A4A"/>
          <w:sz w:val="22"/>
          <w:szCs w:val="22"/>
        </w:rPr>
        <w:t xml:space="preserve">Publish consistently to cross the YouTube Partner Programme threshold (1,000 subscribers, 4,000 watch hours).</w:t>
      </w:r>
    </w:p>
    <w:p>
      <w:pPr>
        <w:pStyle w:val="ListParagraph"/>
        <w:numPr>
          <w:ilvl w:val="0"/>
          <w:numId w:val="4"/>
        </w:numPr>
        <w:spacing w:after="100" w:line="276"/>
      </w:pPr>
      <w:r>
        <w:rPr>
          <w:rFonts w:ascii="Arial" w:cs="Arial" w:eastAsia="Arial" w:hAnsi="Arial"/>
          <w:color w:val="4A4A4A"/>
          <w:sz w:val="22"/>
          <w:szCs w:val="22"/>
        </w:rPr>
        <w:t xml:space="preserve">Begin batch-filming to build a content buffer. One filming day can produce 2–4 weeks of content.</w:t>
      </w:r>
    </w:p>
    <w:p>
      <w:pPr>
        <w:pStyle w:val="ListParagraph"/>
        <w:numPr>
          <w:ilvl w:val="0"/>
          <w:numId w:val="4"/>
        </w:numPr>
        <w:spacing w:after="160" w:line="276"/>
      </w:pPr>
      <w:r>
        <w:rPr>
          <w:rFonts w:ascii="Arial" w:cs="Arial" w:eastAsia="Arial" w:hAnsi="Arial"/>
          <w:color w:val="4A4A4A"/>
          <w:sz w:val="22"/>
          <w:szCs w:val="22"/>
        </w:rPr>
        <w:t xml:space="preserve">Release your strongest long-form content in August–September, timed to gain algorithmic traction before the Q4 CPM peak (40–60% revenue increase in November/December).</w:t>
      </w:r>
    </w:p>
    <w:p>
      <w:pPr>
        <w:pStyle w:val="Heading2"/>
        <w:spacing w:before="280" w:after="160"/>
      </w:pPr>
      <w:r>
        <w:rPr>
          <w:rFonts w:ascii="Arial" w:cs="Arial" w:eastAsia="Arial" w:hAnsi="Arial"/>
          <w:b/>
          <w:bCs/>
          <w:color w:val="1A1A1A"/>
          <w:sz w:val="26"/>
          <w:szCs w:val="26"/>
        </w:rPr>
        <w:t xml:space="preserve">8.3 Scale Phase Actions (Months 6–12+)</w:t>
      </w:r>
    </w:p>
    <w:p>
      <w:pPr>
        <w:spacing w:after="160" w:line="276"/>
        <w:jc w:val="left"/>
      </w:pPr>
      <w:r>
        <w:rPr>
          <w:rFonts w:ascii="Arial" w:cs="Arial" w:eastAsia="Arial" w:hAnsi="Arial"/>
          <w:color w:val="4A4A4A"/>
          <w:sz w:val="22"/>
          <w:szCs w:val="22"/>
        </w:rPr>
        <w:t xml:space="preserve">Launch the career playbook. Introduce the quarterly Executive Intelligence Briefing subscription. Begin sponsorship outreach with a media kit showing audience demographics. Explore high-value consulting opportunities that arise organically — not as a core offering, but as an indicator of brand authority. Expand the Intelligence Series with new supply chain guides at a cadence of one per quarter.</w:t>
      </w:r>
    </w:p>
    <w:p>
      <w:pPr>
        <w:pStyle w:val="Heading2"/>
        <w:spacing w:before="280" w:after="160"/>
      </w:pPr>
      <w:r>
        <w:rPr>
          <w:rFonts w:ascii="Arial" w:cs="Arial" w:eastAsia="Arial" w:hAnsi="Arial"/>
          <w:b/>
          <w:bCs/>
          <w:color w:val="1A1A1A"/>
          <w:sz w:val="26"/>
          <w:szCs w:val="26"/>
        </w:rPr>
        <w:t xml:space="preserve">8.4 Key Principles</w:t>
      </w:r>
    </w:p>
    <w:p>
      <w:pPr>
        <w:pStyle w:val="ListParagraph"/>
        <w:numPr>
          <w:ilvl w:val="0"/>
          <w:numId w:val="5"/>
        </w:numPr>
        <w:spacing w:after="100" w:line="276"/>
      </w:pPr>
      <w:r>
        <w:rPr>
          <w:rFonts w:ascii="Arial" w:cs="Arial" w:eastAsia="Arial" w:hAnsi="Arial"/>
          <w:b/>
          <w:bCs/>
          <w:color w:val="4A4A4A"/>
          <w:sz w:val="22"/>
          <w:szCs w:val="22"/>
        </w:rPr>
        <w:t xml:space="preserve">Embrace the Edge: </w:t>
      </w:r>
      <w:r>
        <w:rPr>
          <w:rFonts w:ascii="Arial" w:cs="Arial" w:eastAsia="Arial" w:hAnsi="Arial"/>
          <w:color w:val="4A4A4A"/>
          <w:sz w:val="22"/>
          <w:szCs w:val="22"/>
        </w:rPr>
        <w:t xml:space="preserve">Your Atlantic location is a high-ground advantage for spotting supply chain and policy storms. Use it in every channel trailer and About section.</w:t>
      </w:r>
    </w:p>
    <w:p>
      <w:pPr>
        <w:pStyle w:val="ListParagraph"/>
        <w:numPr>
          <w:ilvl w:val="0"/>
          <w:numId w:val="5"/>
        </w:numPr>
        <w:spacing w:after="100" w:line="276"/>
      </w:pPr>
      <w:r>
        <w:rPr>
          <w:rFonts w:ascii="Arial" w:cs="Arial" w:eastAsia="Arial" w:hAnsi="Arial"/>
          <w:b/>
          <w:bCs/>
          <w:color w:val="4A4A4A"/>
          <w:sz w:val="22"/>
          <w:szCs w:val="22"/>
        </w:rPr>
        <w:t xml:space="preserve">Mitigate, Don’t Isolate: </w:t>
      </w:r>
      <w:r>
        <w:rPr>
          <w:rFonts w:ascii="Arial" w:cs="Arial" w:eastAsia="Arial" w:hAnsi="Arial"/>
          <w:color w:val="4A4A4A"/>
          <w:sz w:val="22"/>
          <w:szCs w:val="22"/>
        </w:rPr>
        <w:t xml:space="preserve">Be explicit that total European autonomy is currently impossible due to hardware and LLM chokepoints. Your credibility depends on realism, not advocacy.</w:t>
      </w:r>
    </w:p>
    <w:p>
      <w:pPr>
        <w:pStyle w:val="ListParagraph"/>
        <w:numPr>
          <w:ilvl w:val="0"/>
          <w:numId w:val="5"/>
        </w:numPr>
        <w:spacing w:after="100" w:line="276"/>
      </w:pPr>
      <w:r>
        <w:rPr>
          <w:rFonts w:ascii="Arial" w:cs="Arial" w:eastAsia="Arial" w:hAnsi="Arial"/>
          <w:b/>
          <w:bCs/>
          <w:color w:val="4A4A4A"/>
          <w:sz w:val="22"/>
          <w:szCs w:val="22"/>
        </w:rPr>
        <w:t xml:space="preserve">Bridge the Gap: </w:t>
      </w:r>
      <w:r>
        <w:rPr>
          <w:rFonts w:ascii="Arial" w:cs="Arial" w:eastAsia="Arial" w:hAnsi="Arial"/>
          <w:color w:val="4A4A4A"/>
          <w:sz w:val="22"/>
          <w:szCs w:val="22"/>
        </w:rPr>
        <w:t xml:space="preserve">Always link systemic geopolitical analysis to personal professional utility. The Tuesday-to-Friday bridge is your competitive moat.</w:t>
      </w:r>
    </w:p>
    <w:p>
      <w:pPr>
        <w:pStyle w:val="ListParagraph"/>
        <w:numPr>
          <w:ilvl w:val="0"/>
          <w:numId w:val="5"/>
        </w:numPr>
        <w:spacing w:after="100" w:line="276"/>
      </w:pPr>
      <w:r>
        <w:rPr>
          <w:rFonts w:ascii="Arial" w:cs="Arial" w:eastAsia="Arial" w:hAnsi="Arial"/>
          <w:b/>
          <w:bCs/>
          <w:color w:val="4A4A4A"/>
          <w:sz w:val="22"/>
          <w:szCs w:val="22"/>
        </w:rPr>
        <w:t xml:space="preserve">Zero Hype: </w:t>
      </w:r>
      <w:r>
        <w:rPr>
          <w:rFonts w:ascii="Arial" w:cs="Arial" w:eastAsia="Arial" w:hAnsi="Arial"/>
          <w:color w:val="4A4A4A"/>
          <w:sz w:val="22"/>
          <w:szCs w:val="22"/>
        </w:rPr>
        <w:t xml:space="preserve">The brand’s clinical, sober voice is its differentiation. In a market flooded with AI hype merchants, your authority is your restraint.</w:t>
      </w:r>
    </w:p>
    <w:p>
      <w:pPr>
        <w:pStyle w:val="ListParagraph"/>
        <w:numPr>
          <w:ilvl w:val="0"/>
          <w:numId w:val="5"/>
        </w:numPr>
        <w:spacing w:after="160" w:line="276"/>
      </w:pPr>
      <w:r>
        <w:rPr>
          <w:rFonts w:ascii="Arial" w:cs="Arial" w:eastAsia="Arial" w:hAnsi="Arial"/>
          <w:b/>
          <w:bCs/>
          <w:color w:val="4A4A4A"/>
          <w:sz w:val="22"/>
          <w:szCs w:val="22"/>
        </w:rPr>
        <w:t xml:space="preserve">Evergreen Over Trending: </w:t>
      </w:r>
      <w:r>
        <w:rPr>
          <w:rFonts w:ascii="Arial" w:cs="Arial" w:eastAsia="Arial" w:hAnsi="Arial"/>
          <w:color w:val="4A4A4A"/>
          <w:sz w:val="22"/>
          <w:szCs w:val="22"/>
        </w:rPr>
        <w:t xml:space="preserve">Prioritise content that continues attracting organic views and affiliate clicks over years. A well-researched supply chain analysis will accumulate views for 12–24 months; a news reaction dies in days.</w:t>
      </w:r>
    </w:p>
    <w:p>
      <w:pPr>
        <w:pStyle w:val="Heading1"/>
        <w:spacing w:before="360" w:after="200"/>
      </w:pPr>
      <w:r>
        <w:rPr>
          <w:rFonts w:ascii="Arial" w:cs="Arial" w:eastAsia="Arial" w:hAnsi="Arial"/>
          <w:b/>
          <w:bCs/>
          <w:color w:val="1A1A1A"/>
          <w:sz w:val="32"/>
          <w:szCs w:val="32"/>
        </w:rPr>
        <w:t xml:space="preserve">9.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Slow audience growth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Delayed monetisation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Focus on email list and digital products which don’t require YPP</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Content burnout from 2x weekly cadence</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Inconsistency kills algorithm momentum</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c>
          <w:tcPr>
            <w:tcW w:type="dxa" w:w="20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Batch filming; maintain 2-week content buffer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Niche too narrow for algorithm discovery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Limited recommendation 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Shorts provide broad discovery; core content stays focused</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Competitor enters identical niche</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Market share dilution</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Low</w:t>
            </w:r>
          </w:p>
        </w:tc>
        <w:tc>
          <w:tcPr>
            <w:tcW w:type="dxa" w:w="2026"/>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0"/>
            </w:pPr>
            <w:r>
              <w:rPr>
                <w:rFonts w:ascii="Arial" w:cs="Arial" w:eastAsia="Arial" w:hAnsi="Arial"/>
                <w:color w:val="4A4A4A"/>
                <w:sz w:val="20"/>
                <w:szCs w:val="20"/>
              </w:rPr>
              <w:t xml:space="preserve">30-year experience + methodology + location = unreplicable moat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Geopolitical events overtake planned content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Calendar disruption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A4A4A"/>
                <w:sz w:val="20"/>
                <w:szCs w:val="20"/>
              </w:rPr>
              <w:t xml:space="preserve">Maintain 30% flexibility for reactive ‘Signal’ content</w:t>
            </w:r>
          </w:p>
        </w:tc>
      </w:tr>
    </w:tbl>
    <w:p>
      <w:pPr>
        <w:spacing w:before="80" w:after="80"/>
      </w:pPr>
    </w:p>
    <w:p>
      <w:pPr>
        <w:pStyle w:val="Heading1"/>
        <w:spacing w:before="360" w:after="200"/>
      </w:pPr>
      <w:r>
        <w:rPr>
          <w:rFonts w:ascii="Arial" w:cs="Arial" w:eastAsia="Arial" w:hAnsi="Arial"/>
          <w:b/>
          <w:bCs/>
          <w:color w:val="1A1A1A"/>
          <w:sz w:val="32"/>
          <w:szCs w:val="32"/>
        </w:rPr>
        <w:t xml:space="preserve">10. Conclusion</w:t>
      </w:r>
    </w:p>
    <w:p>
      <w:pPr>
        <w:spacing w:after="160" w:line="276"/>
        <w:jc w:val="left"/>
      </w:pPr>
      <w:r>
        <w:rPr>
          <w:rFonts w:ascii="Arial" w:cs="Arial" w:eastAsia="Arial" w:hAnsi="Arial"/>
          <w:color w:val="4A4A4A"/>
          <w:sz w:val="22"/>
          <w:szCs w:val="22"/>
        </w:rPr>
        <w:t xml:space="preserve">The Silicon &amp; Stone YouTube channel is positioned at the intersection of three high-CPM verticals: B2B technology strategy ($15–$30 CPM), geopolitical analysis ($12–$18 CPM), and senior career development ($10–$25 CPM). Your unified channel thesis — strategic intelligence for experienced professionals navigating the 2026 technology landscape — keeps these verticals cohesive under one audience identity rather than fragmenting them.</w:t>
      </w:r>
    </w:p>
    <w:p>
      <w:pPr>
        <w:spacing w:after="160" w:line="276"/>
        <w:jc w:val="left"/>
      </w:pPr>
      <w:r>
        <w:rPr>
          <w:rFonts w:ascii="Arial" w:cs="Arial" w:eastAsia="Arial" w:hAnsi="Arial"/>
          <w:color w:val="4A4A4A"/>
          <w:sz w:val="22"/>
          <w:szCs w:val="22"/>
        </w:rPr>
        <w:t xml:space="preserve">The revenue architecture is designed for independence from any single income stream. Digital products provide income from day one (before YouTube Partner Programme eligibility), affiliate commissions compound with every video published, ad revenue scales with viewership, and sponsorships arrive as proof of audience quality matures.</w:t>
      </w:r>
    </w:p>
    <w:p>
      <w:pPr>
        <w:spacing w:after="160" w:line="276"/>
        <w:jc w:val="left"/>
      </w:pPr>
      <w:r>
        <w:rPr>
          <w:rFonts w:ascii="Arial" w:cs="Arial" w:eastAsia="Arial" w:hAnsi="Arial"/>
          <w:color w:val="4A4A4A"/>
          <w:sz w:val="22"/>
          <w:szCs w:val="22"/>
        </w:rPr>
        <w:t xml:space="preserve">The two-pillar weekly cadence (Tuesday Stone Briefing, Friday Silicon Move) is not just a publishing schedule; it is the structural expression of your brand’s unique value proposition. Analysis without application is academic. Application without analysis is superficial. Silicon &amp; Stone delivers both, and that is the competitive moat no generalist creator can replicate.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E5FF" w:sz="6"/>
              <w:left w:val="single" w:color="00E5FF" w:sz="6"/>
              <w:bottom w:val="single" w:color="00E5FF" w:sz="6"/>
              <w:right w:val="single" w:color="00E5FF" w:sz="6"/>
            </w:tcBorders>
            <w:shd w:fill="F0FAFA" w:val="clear"/>
            <w:tcMar>
              <w:top w:type="dxa" w:w="160"/>
              <w:left w:type="dxa" w:w="240"/>
              <w:bottom w:type="dxa" w:w="160"/>
              <w:right w:type="dxa" w:w="240"/>
            </w:tcMar>
          </w:tcPr>
          <w:p>
            <w:pPr>
              <w:spacing w:after="80"/>
            </w:pPr>
            <w:r>
              <w:rPr>
                <w:rFonts w:ascii="Arial" w:cs="Arial" w:eastAsia="Arial" w:hAnsi="Arial"/>
                <w:b/>
                <w:bCs/>
                <w:color w:val="00B8D4"/>
                <w:sz w:val="20"/>
                <w:szCs w:val="20"/>
              </w:rPr>
              <w:t xml:space="preserve">STONE VERDICT</w:t>
            </w:r>
          </w:p>
          <w:p>
            <w:pPr>
              <w:spacing w:after="0" w:line="276"/>
            </w:pPr>
            <w:r>
              <w:rPr>
                <w:rFonts w:ascii="Arial" w:cs="Arial" w:eastAsia="Arial" w:hAnsi="Arial"/>
                <w:color w:val="1A1A1A"/>
                <w:sz w:val="22"/>
                <w:szCs w:val="22"/>
              </w:rPr>
              <w:t xml:space="preserve">Execute the first 12 weeks of the content calendar. Produce the flagship lead magnet before the first video. Build the email list from day one. Release the first paid Intelligence Series PDF by Week 8. Everything else compounds from there.</w:t>
            </w:r>
          </w:p>
        </w:tc>
      </w:tr>
    </w:tbl>
    <w:p>
      <w:pPr>
        <w:spacing w:before="80" w:after="80"/>
      </w:pPr>
    </w:p>
    <w:p>
      <w:pPr>
        <w:pBdr>
          <w:top w:val="single" w:color="00E5FF" w:sz="2" w:space="8"/>
        </w:pBdr>
        <w:spacing w:before="400"/>
        <w:jc w:val="center"/>
      </w:pPr>
      <w:r>
        <w:rPr>
          <w:rFonts w:ascii="Arial" w:cs="Arial" w:eastAsia="Arial" w:hAnsi="Arial"/>
          <w:i/>
          <w:iCs/>
          <w:color w:val="6B6B6B"/>
          <w:sz w:val="18"/>
          <w:szCs w:val="18"/>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B6B6B"/>
        <w:sz w:val="16"/>
        <w:szCs w:val="16"/>
      </w:rPr>
      <w:t xml:space="preserve">Confidential</w:t>
    </w:r>
    <w:r>
      <w:rPr>
        <w:rFonts w:ascii="Arial" w:cs="Arial" w:eastAsia="Arial" w:hAnsi="Arial"/>
        <w:color w:val="6B6B6B"/>
        <w:sz w:val="16"/>
        <w:szCs w:val="16"/>
      </w:rPr>
      <w:ptab w:alignment="right" w:relativeTo="margin" w:leader="none"/>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5FF" w:sz="2" w:space="4"/>
      </w:pBdr>
      <w:spacing w:after="0"/>
    </w:pPr>
    <w:r>
      <w:rPr>
        <w:rFonts w:ascii="Arial" w:cs="Arial" w:eastAsia="Arial" w:hAnsi="Arial"/>
        <w:color w:val="6B6B6B"/>
        <w:sz w:val="16"/>
        <w:szCs w:val="16"/>
      </w:rPr>
      <w:t xml:space="preserve">Silicon &amp; Stone  |  YouTube &amp; Digital Product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2026-03-30T14:37:56.484Z</dcterms:created>
  <dcterms:modified xsi:type="dcterms:W3CDTF">2026-03-30T14:37:56.485Z</dcterms:modified>
</cp:coreProperties>
</file>

<file path=docProps/custom.xml><?xml version="1.0" encoding="utf-8"?>
<Properties xmlns="http://schemas.openxmlformats.org/officeDocument/2006/custom-properties" xmlns:vt="http://schemas.openxmlformats.org/officeDocument/2006/docPropsVTypes"/>
</file>