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86552" w14:textId="77777777" w:rsidR="00CD7731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FCI Money Market / T+0</w:t>
      </w:r>
    </w:p>
    <w:p w14:paraId="3A93C92A" w14:textId="77777777" w:rsidR="00CD7731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529929F2" w14:textId="77777777" w:rsidR="00CD7731" w:rsidRDefault="00CD7731">
      <w:pPr>
        <w:pBdr>
          <w:bottom w:val="single" w:sz="6" w:space="1" w:color="2E6CA4"/>
        </w:pBdr>
        <w:spacing w:before="160" w:after="160"/>
      </w:pPr>
    </w:p>
    <w:p w14:paraId="58EB1303" w14:textId="77777777" w:rsidR="00CD7731" w:rsidRDefault="00000000">
      <w:pPr>
        <w:pStyle w:val="Heading2"/>
      </w:pPr>
      <w:r>
        <w:t>¿Qué es?</w:t>
      </w:r>
    </w:p>
    <w:p w14:paraId="4D453BB9" w14:textId="77777777" w:rsidR="00CD7731" w:rsidRDefault="00000000">
      <w:pPr>
        <w:spacing w:before="60" w:after="60"/>
      </w:pPr>
      <w:r>
        <w:t>Los FCI Money Market (también llamados "fondos T+0" o "fondos de liquidez inmediata") son Fondos Comunes de Inversión que destinan la totalidad de su patrimonio a instrumentos de cortísimo plazo y máxima calidad crediticia: plazos fijos bancarios mayoristas, cauciones bursátiles, y cuentas de ahorro remuneradas.</w:t>
      </w:r>
    </w:p>
    <w:p w14:paraId="7410F5AE" w14:textId="77777777" w:rsidR="00CD7731" w:rsidRDefault="00000000">
      <w:pPr>
        <w:spacing w:before="60" w:after="60"/>
      </w:pPr>
      <w:r>
        <w:t>Su rasgo definitorio es la liquidez inmediata: los rescates realizados dentro del horario de mercado se acreditan al instante en la cuenta (T+0). Operan en la práctica como una billetera virtual de caja o cuenta transaccional que devenga interés.</w:t>
      </w:r>
    </w:p>
    <w:p w14:paraId="49AE0D5F" w14:textId="77777777" w:rsidR="00CD7731" w:rsidRDefault="00000000">
      <w:pPr>
        <w:spacing w:before="60" w:after="60"/>
      </w:pPr>
      <w:r>
        <w:t>Son administrados por una Sociedad Gerente regulada por la CNV. El efectivo y los títulos son custodiados por una Sociedad Depositaria independiente (usualmente un banco de primer orden).</w:t>
      </w:r>
    </w:p>
    <w:p w14:paraId="3543C46A" w14:textId="77777777" w:rsidR="00CD7731" w:rsidRDefault="00CD7731">
      <w:pPr>
        <w:spacing w:before="80" w:after="80"/>
      </w:pPr>
    </w:p>
    <w:p w14:paraId="03D2D441" w14:textId="77777777" w:rsidR="00CD7731" w:rsidRDefault="00000000">
      <w:pPr>
        <w:pStyle w:val="Heading2"/>
      </w:pPr>
      <w:r>
        <w:t>¿Cómo funciona el flujo de dinero?</w:t>
      </w:r>
    </w:p>
    <w:p w14:paraId="4A256880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Suscripción: </w:t>
      </w:r>
      <w:r>
        <w:t>Entrada (Suscripción): transferís pesos al fondo y recibís cuotapartes al Valor de Cuotaparte del día.</w:t>
      </w:r>
    </w:p>
    <w:p w14:paraId="1826DAC2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el Valor de Cuotaparte sube diariamente por el devengamiento de los instrumentos subyacentes. No hay distribución de dividendos; la ganancia se capitaliza en el precio de la cuotaparte.</w:t>
      </w:r>
    </w:p>
    <w:p w14:paraId="25A2F94E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Rescate: </w:t>
      </w:r>
      <w:r>
        <w:t>Salida (Rescate): pedís el rescate y los pesos se acreditan inmediatamente (T+0) en tu cuenta comitente o homebanking.</w:t>
      </w:r>
    </w:p>
    <w:p w14:paraId="7842DAFB" w14:textId="77777777" w:rsidR="00CD7731" w:rsidRDefault="00000000">
      <w:pPr>
        <w:spacing w:before="60" w:after="60"/>
      </w:pPr>
      <w:r>
        <w:t>La Sociedad Gerente cobra honorarios de administración anuales que se descuentan diariamente sobre el patrimonio administrado (no se pagan por separado).</w:t>
      </w:r>
    </w:p>
    <w:p w14:paraId="37D7D17C" w14:textId="77777777" w:rsidR="00CD7731" w:rsidRDefault="00CD7731">
      <w:pPr>
        <w:spacing w:before="80" w:after="80"/>
      </w:pPr>
    </w:p>
    <w:p w14:paraId="6D8C5717" w14:textId="77777777" w:rsidR="00CD7731" w:rsidRDefault="00000000">
      <w:pPr>
        <w:pStyle w:val="Heading2"/>
      </w:pPr>
      <w:r>
        <w:t>Moneda de exposición al riesgo</w:t>
      </w:r>
    </w:p>
    <w:p w14:paraId="3BF5ED6A" w14:textId="77777777" w:rsidR="00CD7731" w:rsidRDefault="00000000">
      <w:pPr>
        <w:spacing w:before="60" w:after="60"/>
      </w:pPr>
      <w:r>
        <w:t>Pesos argentinos exclusivamente. No provee cobertura contra el dólar ni contra la inflación de forma directa.</w:t>
      </w:r>
    </w:p>
    <w:p w14:paraId="64A1D01A" w14:textId="77777777" w:rsidR="00CD7731" w:rsidRDefault="00CD7731">
      <w:pPr>
        <w:spacing w:before="80" w:after="80"/>
      </w:pPr>
    </w:p>
    <w:p w14:paraId="2EB9520F" w14:textId="77777777" w:rsidR="00CD7731" w:rsidRDefault="00000000">
      <w:pPr>
        <w:pStyle w:val="Heading2"/>
      </w:pPr>
      <w:r>
        <w:t>Principales riesgos estructurales</w:t>
      </w:r>
    </w:p>
    <w:p w14:paraId="168DD069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crédito: </w:t>
      </w:r>
      <w:r>
        <w:t>Riesgo de crédito: muy bajo. Al invertir en instrumentos de corto plazo y alta calidad, el riesgo sistémico es mínimo y está blindado por BYMA/CNV.</w:t>
      </w:r>
    </w:p>
    <w:p w14:paraId="59810025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inflacionario: </w:t>
      </w:r>
      <w:r>
        <w:t>Riesgo de tasa/inflación: la tasa que paga puede no compensar la inflación real. En contextos de inflación acelerada, el fondo pierde poder adquisitivo.</w:t>
      </w:r>
    </w:p>
    <w:p w14:paraId="44EF6787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Riesgo de gestión: </w:t>
      </w:r>
      <w:r>
        <w:t>Riesgo de gestión: el portfolio manager puede tomar decisiones de asignación subóptimas, rindiendo menos que sus competidores.</w:t>
      </w:r>
    </w:p>
    <w:p w14:paraId="2F6388F3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regulatorio: </w:t>
      </w:r>
      <w:r>
        <w:t>Riesgo regulatorio: cambios en normativa de liquidez, encajes, o regulación de los activos subyacentes.</w:t>
      </w:r>
    </w:p>
    <w:p w14:paraId="1889A321" w14:textId="77777777" w:rsidR="00CD7731" w:rsidRDefault="00CD7731">
      <w:pPr>
        <w:spacing w:before="80" w:after="80"/>
      </w:pPr>
    </w:p>
    <w:p w14:paraId="7343DC16" w14:textId="77777777" w:rsidR="00CD7731" w:rsidRDefault="00000000">
      <w:pPr>
        <w:pStyle w:val="Heading2"/>
      </w:pPr>
      <w:r>
        <w:t>Horizonte recomendado</w:t>
      </w:r>
    </w:p>
    <w:p w14:paraId="0D5F338D" w14:textId="77777777" w:rsidR="00CD7731" w:rsidRDefault="00000000">
      <w:pPr>
        <w:spacing w:before="60" w:after="60"/>
      </w:pPr>
      <w:r>
        <w:t>Muy corto plazo (1-30 días). Es la herramienta ideal para el "parking" de fondos entre operaciones, manejo de caja diaria, y maximizar el rendimiento de saldos transitorios en pesos.</w:t>
      </w:r>
    </w:p>
    <w:p w14:paraId="18496FEF" w14:textId="77777777" w:rsidR="00CD7731" w:rsidRDefault="00CD7731">
      <w:pPr>
        <w:spacing w:before="80" w:after="80"/>
      </w:pPr>
    </w:p>
    <w:p w14:paraId="5457D0C8" w14:textId="77777777" w:rsidR="00CD7731" w:rsidRDefault="00000000">
      <w:pPr>
        <w:pStyle w:val="Heading2"/>
      </w:pPr>
      <w:r>
        <w:t>Ticket mínimo y accesibilidad</w:t>
      </w:r>
    </w:p>
    <w:p w14:paraId="47F161E5" w14:textId="77777777" w:rsidR="00CD7731" w:rsidRDefault="00000000">
      <w:pPr>
        <w:spacing w:before="60" w:after="60"/>
      </w:pPr>
      <w:r>
        <w:t>Mínimos de entrada excepcionalmente bajos, generalmente desde $1.000 pesos (equivalente a ~1 USD). Ideal para pequeños inversores. Operables desde homebanking, apps de brokers, o billeteras virtuales.</w:t>
      </w:r>
    </w:p>
    <w:p w14:paraId="124574D9" w14:textId="77777777" w:rsidR="00CD7731" w:rsidRDefault="00CD7731">
      <w:pPr>
        <w:spacing w:before="80" w:after="80"/>
      </w:pPr>
    </w:p>
    <w:p w14:paraId="0DA05677" w14:textId="77777777" w:rsidR="00CD7731" w:rsidRDefault="00000000">
      <w:pPr>
        <w:pStyle w:val="Heading2"/>
      </w:pPr>
      <w:r>
        <w:t>¿Cuándo tiene sentido usarlos?</w:t>
      </w:r>
    </w:p>
    <w:p w14:paraId="5B21DE75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t>Para rentabilizar saldos en pesos que estarán inactivos por días o semanas entre operaciones.</w:t>
      </w:r>
    </w:p>
    <w:p w14:paraId="3D60166E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t>Como sustituto de tener pesos "parados" en la cuenta corriente sin generar rendimiento.</w:t>
      </w:r>
    </w:p>
    <w:p w14:paraId="2A495154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t>Para "parking" de pesos mientras se decide en qué otro instrumento invertir.</w:t>
      </w:r>
    </w:p>
    <w:p w14:paraId="59C1D569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t>Como alternativa a cuenta remunerada o plazo fijo muy corto, con la ventaja de rescate inmediato T+0.</w:t>
      </w:r>
    </w:p>
    <w:p w14:paraId="7C250B70" w14:textId="77777777" w:rsidR="00CD7731" w:rsidRDefault="00CD7731">
      <w:pPr>
        <w:spacing w:before="80" w:after="80"/>
      </w:pPr>
    </w:p>
    <w:p w14:paraId="3434AFEA" w14:textId="77777777" w:rsidR="00CD7731" w:rsidRDefault="00000000">
      <w:pPr>
        <w:pStyle w:val="Heading2"/>
      </w:pPr>
      <w:r>
        <w:t>Dónde ver información actualizada</w:t>
      </w:r>
    </w:p>
    <w:p w14:paraId="644D70F5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CNV: </w:t>
      </w:r>
      <w:r>
        <w:t>CNV / Argentina.gob.ar – Buscador de FCI: filtrar por categoría "Mercado de Dinero". Verifica que el fondo esté autorizado.</w:t>
      </w:r>
    </w:p>
    <w:p w14:paraId="09F355C0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CAFCI: </w:t>
      </w:r>
      <w:r>
        <w:t>CAFCI (cafci.org.ar): Comparador de Fondos con rendimiento histórico de cuotaparte, comisiones y cartera subyacente.</w:t>
      </w:r>
    </w:p>
    <w:p w14:paraId="572D6C0F" w14:textId="77777777" w:rsidR="00CD77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Bancos/Brokers: </w:t>
      </w:r>
      <w:r>
        <w:t>Sitios de bancos y ALyCs: fichas tipo "Money Market" o "Ahorro Pesos" con TNA/TEA vigente.</w:t>
      </w:r>
    </w:p>
    <w:p w14:paraId="049755F7" w14:textId="77777777" w:rsidR="00CD7731" w:rsidRDefault="00CD7731">
      <w:pPr>
        <w:spacing w:before="80" w:after="80"/>
      </w:pPr>
    </w:p>
    <w:p w14:paraId="3CC9A864" w14:textId="77777777" w:rsidR="00CD7731" w:rsidRDefault="00CD7731">
      <w:pPr>
        <w:pBdr>
          <w:bottom w:val="single" w:sz="6" w:space="1" w:color="2E6CA4"/>
        </w:pBdr>
        <w:spacing w:before="160" w:after="160"/>
      </w:pPr>
    </w:p>
    <w:p w14:paraId="1F4DDEFE" w14:textId="77777777" w:rsidR="00CD7731" w:rsidRDefault="00000000">
      <w:pPr>
        <w:pStyle w:val="Heading2"/>
      </w:pPr>
      <w:r>
        <w:t>📊 Tabla resumen de atributos</w:t>
      </w:r>
    </w:p>
    <w:p w14:paraId="097087E0" w14:textId="77777777" w:rsidR="00CD7731" w:rsidRDefault="00CD773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D7731" w14:paraId="2F133D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486F" w14:textId="77777777" w:rsidR="00CD7731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9CAC" w14:textId="77777777" w:rsidR="00CD7731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CD7731" w14:paraId="250F1A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16CA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EC24" w14:textId="77777777" w:rsidR="00CD7731" w:rsidRDefault="00000000">
            <w:r>
              <w:rPr>
                <w:color w:val="333333"/>
                <w:sz w:val="20"/>
                <w:szCs w:val="20"/>
              </w:rPr>
              <w:t>Fondo Común de Inversión (Mercado de Dinero)</w:t>
            </w:r>
          </w:p>
        </w:tc>
      </w:tr>
      <w:tr w:rsidR="00CD7731" w14:paraId="617978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A551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00C5" w14:textId="77777777" w:rsidR="00CD7731" w:rsidRDefault="00000000">
            <w:r>
              <w:rPr>
                <w:color w:val="333333"/>
                <w:sz w:val="20"/>
                <w:szCs w:val="20"/>
              </w:rPr>
              <w:t>Pesos argentinos</w:t>
            </w:r>
          </w:p>
        </w:tc>
      </w:tr>
      <w:tr w:rsidR="00CD7731" w14:paraId="4EA466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FF56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Plazo de rescate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44E3" w14:textId="77777777" w:rsidR="00CD7731" w:rsidRDefault="00000000">
            <w:r>
              <w:rPr>
                <w:color w:val="333333"/>
                <w:sz w:val="20"/>
                <w:szCs w:val="20"/>
              </w:rPr>
              <w:t>T+0 (mismo día, horario de mercado)</w:t>
            </w:r>
          </w:p>
        </w:tc>
      </w:tr>
      <w:tr w:rsidR="00CD7731" w14:paraId="1CB2CF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580E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Rendimiento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CA67" w14:textId="77777777" w:rsidR="00CD7731" w:rsidRDefault="00000000">
            <w:r>
              <w:rPr>
                <w:color w:val="333333"/>
                <w:sz w:val="20"/>
                <w:szCs w:val="20"/>
              </w:rPr>
              <w:t>Devengamiento diario (tasa equivalente a plazo fijo mayorista)</w:t>
            </w:r>
          </w:p>
        </w:tc>
      </w:tr>
      <w:tr w:rsidR="00CD7731" w14:paraId="07A157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7569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023A" w14:textId="77777777" w:rsidR="00CD7731" w:rsidRDefault="00000000">
            <w:r>
              <w:rPr>
                <w:color w:val="333333"/>
                <w:sz w:val="20"/>
                <w:szCs w:val="20"/>
              </w:rPr>
              <w:t>No (puede no seguir el ritmo inflacionario)</w:t>
            </w:r>
          </w:p>
        </w:tc>
      </w:tr>
      <w:tr w:rsidR="00CD7731" w14:paraId="3E9ED7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1118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63B" w14:textId="77777777" w:rsidR="00CD7731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CD7731" w14:paraId="0DA0FB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376B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F370" w14:textId="77777777" w:rsidR="00CD7731" w:rsidRDefault="00000000">
            <w:r>
              <w:rPr>
                <w:color w:val="333333"/>
                <w:sz w:val="20"/>
                <w:szCs w:val="20"/>
              </w:rPr>
              <w:t>Muy corto plazo (1-30 días)</w:t>
            </w:r>
          </w:p>
        </w:tc>
      </w:tr>
      <w:tr w:rsidR="00CD7731" w14:paraId="2FFAD3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D2EF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04D9" w14:textId="77777777" w:rsidR="00CD7731" w:rsidRDefault="00000000">
            <w:r>
              <w:rPr>
                <w:color w:val="333333"/>
                <w:sz w:val="20"/>
                <w:szCs w:val="20"/>
              </w:rPr>
              <w:t>Desde ~$1.000 pesos (equivalente a 1 USD aprox.)</w:t>
            </w:r>
          </w:p>
        </w:tc>
      </w:tr>
      <w:tr w:rsidR="00CD7731" w14:paraId="16017B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09B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E89B" w14:textId="77777777" w:rsidR="00CD7731" w:rsidRDefault="00000000">
            <w:r>
              <w:rPr>
                <w:color w:val="333333"/>
                <w:sz w:val="20"/>
                <w:szCs w:val="20"/>
              </w:rPr>
              <w:t>CNV</w:t>
            </w:r>
          </w:p>
        </w:tc>
      </w:tr>
      <w:tr w:rsidR="00CD7731" w14:paraId="6ED25C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998C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Activos subyacentes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711E" w14:textId="77777777" w:rsidR="00CD7731" w:rsidRDefault="00000000">
            <w:r>
              <w:rPr>
                <w:color w:val="333333"/>
                <w:sz w:val="20"/>
                <w:szCs w:val="20"/>
              </w:rPr>
              <w:t>Plazos fijos mayoristas, cauciones bursátiles, cuentas remuneradas</w:t>
            </w:r>
          </w:p>
        </w:tc>
      </w:tr>
      <w:tr w:rsidR="00CD7731" w14:paraId="115EE8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A498" w14:textId="77777777" w:rsidR="00CD7731" w:rsidRDefault="00000000">
            <w:r>
              <w:rPr>
                <w:b/>
                <w:bCs/>
                <w:color w:val="1F3864"/>
                <w:sz w:val="20"/>
                <w:szCs w:val="20"/>
              </w:rPr>
              <w:t>Riesgo de crédito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282B" w14:textId="77777777" w:rsidR="00CD7731" w:rsidRDefault="00000000">
            <w:r>
              <w:rPr>
                <w:color w:val="333333"/>
                <w:sz w:val="20"/>
                <w:szCs w:val="20"/>
              </w:rPr>
              <w:t>Muy bajo (instrumentos de altísima calidad y corto plazo)</w:t>
            </w:r>
          </w:p>
        </w:tc>
      </w:tr>
    </w:tbl>
    <w:p w14:paraId="01052376" w14:textId="77777777" w:rsidR="00CD7731" w:rsidRDefault="00CD7731">
      <w:pPr>
        <w:spacing w:before="80" w:after="80"/>
      </w:pPr>
    </w:p>
    <w:p w14:paraId="3D2E1A05" w14:textId="77777777" w:rsidR="00CD7731" w:rsidRDefault="00CD7731">
      <w:pPr>
        <w:pBdr>
          <w:bottom w:val="single" w:sz="6" w:space="1" w:color="2E6CA4"/>
        </w:pBdr>
        <w:spacing w:before="160" w:after="160"/>
      </w:pPr>
    </w:p>
    <w:p w14:paraId="71AA54A7" w14:textId="77777777" w:rsidR="00CD7731" w:rsidRDefault="00CD7731">
      <w:pPr>
        <w:spacing w:before="80" w:after="80"/>
      </w:pPr>
    </w:p>
    <w:sectPr w:rsidR="00CD773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E0E82" w14:textId="77777777" w:rsidR="004F77BC" w:rsidRDefault="004F77BC">
      <w:r>
        <w:separator/>
      </w:r>
    </w:p>
  </w:endnote>
  <w:endnote w:type="continuationSeparator" w:id="0">
    <w:p w14:paraId="312856D4" w14:textId="77777777" w:rsidR="004F77BC" w:rsidRDefault="004F7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9EAAD" w14:textId="77777777" w:rsidR="00CD7731" w:rsidRDefault="00000000">
    <w:pPr>
      <w:jc w:val="right"/>
    </w:pPr>
    <w:r>
      <w:rPr>
        <w:color w:val="888888"/>
        <w:sz w:val="18"/>
        <w:szCs w:val="18"/>
      </w:rPr>
      <w:t xml:space="preserve">Wiki de Inversiones · FCI Money Market / T+0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060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DD015" w14:textId="77777777" w:rsidR="004F77BC" w:rsidRDefault="004F77BC">
      <w:r>
        <w:separator/>
      </w:r>
    </w:p>
  </w:footnote>
  <w:footnote w:type="continuationSeparator" w:id="0">
    <w:p w14:paraId="18CEB9F3" w14:textId="77777777" w:rsidR="004F77BC" w:rsidRDefault="004F7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FD5E61"/>
    <w:multiLevelType w:val="hybridMultilevel"/>
    <w:tmpl w:val="F2E4CE7A"/>
    <w:lvl w:ilvl="0" w:tplc="CC56770C">
      <w:start w:val="1"/>
      <w:numFmt w:val="bullet"/>
      <w:lvlText w:val="•"/>
      <w:lvlJc w:val="left"/>
      <w:pPr>
        <w:ind w:left="720" w:hanging="360"/>
      </w:pPr>
    </w:lvl>
    <w:lvl w:ilvl="1" w:tplc="6A281F1A">
      <w:numFmt w:val="decimal"/>
      <w:lvlText w:val=""/>
      <w:lvlJc w:val="left"/>
    </w:lvl>
    <w:lvl w:ilvl="2" w:tplc="78E69CC6">
      <w:numFmt w:val="decimal"/>
      <w:lvlText w:val=""/>
      <w:lvlJc w:val="left"/>
    </w:lvl>
    <w:lvl w:ilvl="3" w:tplc="E404EEB6">
      <w:numFmt w:val="decimal"/>
      <w:lvlText w:val=""/>
      <w:lvlJc w:val="left"/>
    </w:lvl>
    <w:lvl w:ilvl="4" w:tplc="6E50925C">
      <w:numFmt w:val="decimal"/>
      <w:lvlText w:val=""/>
      <w:lvlJc w:val="left"/>
    </w:lvl>
    <w:lvl w:ilvl="5" w:tplc="6C42AB98">
      <w:numFmt w:val="decimal"/>
      <w:lvlText w:val=""/>
      <w:lvlJc w:val="left"/>
    </w:lvl>
    <w:lvl w:ilvl="6" w:tplc="8A6CF210">
      <w:numFmt w:val="decimal"/>
      <w:lvlText w:val=""/>
      <w:lvlJc w:val="left"/>
    </w:lvl>
    <w:lvl w:ilvl="7" w:tplc="F028BCEA">
      <w:numFmt w:val="decimal"/>
      <w:lvlText w:val=""/>
      <w:lvlJc w:val="left"/>
    </w:lvl>
    <w:lvl w:ilvl="8" w:tplc="EE84D888">
      <w:numFmt w:val="decimal"/>
      <w:lvlText w:val=""/>
      <w:lvlJc w:val="left"/>
    </w:lvl>
  </w:abstractNum>
  <w:abstractNum w:abstractNumId="1" w15:restartNumberingAfterBreak="0">
    <w:nsid w:val="72795B0F"/>
    <w:multiLevelType w:val="hybridMultilevel"/>
    <w:tmpl w:val="0C044D88"/>
    <w:lvl w:ilvl="0" w:tplc="DFE04520">
      <w:start w:val="1"/>
      <w:numFmt w:val="bullet"/>
      <w:lvlText w:val="●"/>
      <w:lvlJc w:val="left"/>
      <w:pPr>
        <w:ind w:left="720" w:hanging="360"/>
      </w:pPr>
    </w:lvl>
    <w:lvl w:ilvl="1" w:tplc="49C20EBE">
      <w:start w:val="1"/>
      <w:numFmt w:val="bullet"/>
      <w:lvlText w:val="○"/>
      <w:lvlJc w:val="left"/>
      <w:pPr>
        <w:ind w:left="1440" w:hanging="360"/>
      </w:pPr>
    </w:lvl>
    <w:lvl w:ilvl="2" w:tplc="D7381978">
      <w:start w:val="1"/>
      <w:numFmt w:val="bullet"/>
      <w:lvlText w:val="■"/>
      <w:lvlJc w:val="left"/>
      <w:pPr>
        <w:ind w:left="2160" w:hanging="360"/>
      </w:pPr>
    </w:lvl>
    <w:lvl w:ilvl="3" w:tplc="7CFAFA06">
      <w:start w:val="1"/>
      <w:numFmt w:val="bullet"/>
      <w:lvlText w:val="●"/>
      <w:lvlJc w:val="left"/>
      <w:pPr>
        <w:ind w:left="2880" w:hanging="360"/>
      </w:pPr>
    </w:lvl>
    <w:lvl w:ilvl="4" w:tplc="5C3496E2">
      <w:start w:val="1"/>
      <w:numFmt w:val="bullet"/>
      <w:lvlText w:val="○"/>
      <w:lvlJc w:val="left"/>
      <w:pPr>
        <w:ind w:left="3600" w:hanging="360"/>
      </w:pPr>
    </w:lvl>
    <w:lvl w:ilvl="5" w:tplc="EBB2B9A6">
      <w:start w:val="1"/>
      <w:numFmt w:val="bullet"/>
      <w:lvlText w:val="■"/>
      <w:lvlJc w:val="left"/>
      <w:pPr>
        <w:ind w:left="4320" w:hanging="360"/>
      </w:pPr>
    </w:lvl>
    <w:lvl w:ilvl="6" w:tplc="993E5F94">
      <w:start w:val="1"/>
      <w:numFmt w:val="bullet"/>
      <w:lvlText w:val="●"/>
      <w:lvlJc w:val="left"/>
      <w:pPr>
        <w:ind w:left="5040" w:hanging="360"/>
      </w:pPr>
    </w:lvl>
    <w:lvl w:ilvl="7" w:tplc="28AEF690">
      <w:start w:val="1"/>
      <w:numFmt w:val="bullet"/>
      <w:lvlText w:val="●"/>
      <w:lvlJc w:val="left"/>
      <w:pPr>
        <w:ind w:left="5760" w:hanging="360"/>
      </w:pPr>
    </w:lvl>
    <w:lvl w:ilvl="8" w:tplc="ADEA8E80">
      <w:start w:val="1"/>
      <w:numFmt w:val="bullet"/>
      <w:lvlText w:val="●"/>
      <w:lvlJc w:val="left"/>
      <w:pPr>
        <w:ind w:left="6480" w:hanging="360"/>
      </w:pPr>
    </w:lvl>
  </w:abstractNum>
  <w:num w:numId="1" w16cid:durableId="1906599417">
    <w:abstractNumId w:val="1"/>
    <w:lvlOverride w:ilvl="0">
      <w:startOverride w:val="1"/>
    </w:lvlOverride>
  </w:num>
  <w:num w:numId="2" w16cid:durableId="1541867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31"/>
    <w:rsid w:val="004F77BC"/>
    <w:rsid w:val="007F26D7"/>
    <w:rsid w:val="00B06051"/>
    <w:rsid w:val="00CD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BEBA5A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3526</Characters>
  <Application>Microsoft Office Word</Application>
  <DocSecurity>0</DocSecurity>
  <Lines>95</Lines>
  <Paragraphs>62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2026-07-12T19:34:00Z</dcterms:modified>
</cp:coreProperties>
</file>