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FBBAE2" w14:textId="77777777" w:rsidR="006B1B07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Bonos Soberanos (Hard Dollar)</w:t>
      </w:r>
    </w:p>
    <w:p w14:paraId="163D2E72" w14:textId="77777777" w:rsidR="006B1B07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442B83AF" w14:textId="77777777" w:rsidR="006B1B07" w:rsidRDefault="006B1B07">
      <w:pPr>
        <w:pBdr>
          <w:bottom w:val="single" w:sz="6" w:space="1" w:color="2E6CA4"/>
        </w:pBdr>
        <w:spacing w:before="160" w:after="160"/>
      </w:pPr>
    </w:p>
    <w:p w14:paraId="5467BA39" w14:textId="77777777" w:rsidR="006B1B07" w:rsidRDefault="00000000">
      <w:pPr>
        <w:pStyle w:val="Heading2"/>
      </w:pPr>
      <w:r>
        <w:t>¿Qué es?</w:t>
      </w:r>
    </w:p>
    <w:p w14:paraId="2A5FFAE5" w14:textId="77777777" w:rsidR="006B1B07" w:rsidRDefault="00000000">
      <w:pPr>
        <w:spacing w:before="60" w:after="60"/>
      </w:pPr>
      <w:r>
        <w:t>Los bonos soberanos Hard Dollar son títulos de deuda pública emitidos por el Estado Nacional argentino cuya obligación contractual y todos los flujos de fondos (cupones de interés y amortizaciones) están denominados, calculados y pagaderos en dólares estadounidenses billete.</w:t>
      </w:r>
    </w:p>
    <w:p w14:paraId="3F28E308" w14:textId="77777777" w:rsidR="006B1B07" w:rsidRDefault="00000000">
      <w:pPr>
        <w:spacing w:before="60" w:after="60"/>
      </w:pPr>
      <w:r>
        <w:t>Se dividen en dos familias según la jurisdicción legal:</w:t>
      </w:r>
    </w:p>
    <w:p w14:paraId="1E9A7A75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Bonares: </w:t>
      </w:r>
      <w:r>
        <w:t>Bonares (serie AL, ej. AL30, AL35): Ley Local Argentina. En escenarios de tensión, el Estado puede alterar condiciones unilateralmente. Históricamente más susceptibles a reperfilamientos forzosos.</w:t>
      </w:r>
    </w:p>
    <w:p w14:paraId="27589819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Globales: </w:t>
      </w:r>
      <w:r>
        <w:t>Globales (serie GD, ej. GD30, GD35): Ley de Nueva York. Ofrecen mayor protección legal al acreedor. Las Cláusulas de Acción Colectiva (CACs) impiden modificaciones sin consenso calificado de tenedores.</w:t>
      </w:r>
    </w:p>
    <w:p w14:paraId="0CCFB666" w14:textId="77777777" w:rsidR="006B1B07" w:rsidRDefault="00000000">
      <w:pPr>
        <w:spacing w:before="60" w:after="60"/>
      </w:pPr>
      <w:r>
        <w:t>Un mismo bono puede operar en distintas "especies": en pesos (AL30), con dólares locales como MEP (AL30D), o con dólares del exterior (AL30C).</w:t>
      </w:r>
    </w:p>
    <w:p w14:paraId="17952D31" w14:textId="77777777" w:rsidR="006B1B07" w:rsidRDefault="006B1B07">
      <w:pPr>
        <w:spacing w:before="80" w:after="80"/>
      </w:pPr>
    </w:p>
    <w:p w14:paraId="50F364E0" w14:textId="77777777" w:rsidR="006B1B07" w:rsidRDefault="00000000">
      <w:pPr>
        <w:pStyle w:val="Heading2"/>
      </w:pPr>
      <w:r>
        <w:t>¿Cómo funciona el flujo de dinero?</w:t>
      </w:r>
    </w:p>
    <w:p w14:paraId="2471C86F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Entrada: </w:t>
      </w:r>
      <w:r>
        <w:t>Entrada: comprás en el mercado secundario pagando un precio por cada valor nominal (VNO). El precio varía según la TIR exigida por el mercado.</w:t>
      </w:r>
    </w:p>
    <w:p w14:paraId="3C2302BF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cupones de interés periódicos (generalmente semestrales) + amortizaciones de capital en las fechas del prospecto, acreditados en USD en tu cuenta comitente.</w:t>
      </w:r>
    </w:p>
    <w:p w14:paraId="262D2A9C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Operatoria MEP/CCL: </w:t>
      </w:r>
      <w:r>
        <w:t>Dólar MEP/CCL: comprar el bono en especie pesos (AL30) y venderlo en especie dólares (AL30D) —tras el "parking" regulatorio— permite la dolarización legal de carteras sin límites de monto, sin pasar por el MULC.</w:t>
      </w:r>
    </w:p>
    <w:p w14:paraId="2DC8789E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 (1): </w:t>
      </w:r>
      <w:r>
        <w:t>Salida (1): mantenerlo hasta vencimiento ("hold to maturity") cobrando todos los flujos.</w:t>
      </w:r>
    </w:p>
    <w:p w14:paraId="7EC805FC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 (2): </w:t>
      </w:r>
      <w:r>
        <w:t>Salida (2): vender en el mercado secundario antes del vencimiento, capturando ganancia/pérdida de capital según el precio vigente.</w:t>
      </w:r>
    </w:p>
    <w:p w14:paraId="5A9A846A" w14:textId="77777777" w:rsidR="006B1B07" w:rsidRDefault="006B1B07">
      <w:pPr>
        <w:spacing w:before="80" w:after="80"/>
      </w:pPr>
    </w:p>
    <w:p w14:paraId="74D6B7B0" w14:textId="77777777" w:rsidR="006B1B07" w:rsidRDefault="00000000">
      <w:pPr>
        <w:pStyle w:val="Heading2"/>
      </w:pPr>
      <w:r>
        <w:t>Moneda de exposición al riesgo</w:t>
      </w:r>
    </w:p>
    <w:p w14:paraId="6C51CB54" w14:textId="77777777" w:rsidR="006B1B07" w:rsidRDefault="00000000">
      <w:pPr>
        <w:spacing w:before="60" w:after="60"/>
      </w:pPr>
      <w:r>
        <w:t>Exposición en dólares estadounidenses por definición. Su valuación diaria en pesos está atada al tipo de cambio implícito (MEP/CCL) y a la demanda coyuntural del título.</w:t>
      </w:r>
    </w:p>
    <w:p w14:paraId="18F2410A" w14:textId="77777777" w:rsidR="006B1B07" w:rsidRDefault="006B1B07">
      <w:pPr>
        <w:spacing w:before="80" w:after="80"/>
      </w:pPr>
    </w:p>
    <w:p w14:paraId="20B5E949" w14:textId="77777777" w:rsidR="006B1B07" w:rsidRDefault="00000000">
      <w:pPr>
        <w:pStyle w:val="Heading2"/>
      </w:pPr>
      <w:r>
        <w:lastRenderedPageBreak/>
        <w:t>Principales riesgos estructurales</w:t>
      </w:r>
    </w:p>
    <w:p w14:paraId="7DC36863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soberano: </w:t>
      </w:r>
      <w:r>
        <w:t>Riesgo de crédito/default: históricamente crónico. Posibilidad de que el Estado no tenga reservas o voluntad de honrar sus compromisos en divisas. Se refleja en el Riesgo País (EMBI).</w:t>
      </w:r>
    </w:p>
    <w:p w14:paraId="4C889A1F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tasa: </w:t>
      </w:r>
      <w:r>
        <w:t>Riesgo de tasa (duration): el precio del bono se mueve de forma inversa a las tasas. En bonos largos, la duration amplifica la volatilidad del capital ante cambios de TIR.</w:t>
      </w:r>
    </w:p>
    <w:p w14:paraId="2F8D705A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legal: </w:t>
      </w:r>
      <w:r>
        <w:t>Riesgo de jurisdicción: los Bonares (ley local) son más susceptibles a reperfilamientos unilaterales que los Globales (ley NY).</w:t>
      </w:r>
    </w:p>
    <w:p w14:paraId="601C0569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regulatorio: </w:t>
      </w:r>
      <w:r>
        <w:t>Riesgo regulatorio: controles de capital, restricciones cambiarias, modificaciones al parking MEP/CCL.</w:t>
      </w:r>
    </w:p>
    <w:p w14:paraId="2E086962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liquidez: </w:t>
      </w:r>
      <w:r>
        <w:t>Riesgo de liquidez: los bonos de alta negociación (AL30, GD30, etc.) son muy líquidos. Los de menor volumen tienen spreads más amplios.</w:t>
      </w:r>
    </w:p>
    <w:p w14:paraId="13BF9F15" w14:textId="77777777" w:rsidR="006B1B07" w:rsidRDefault="006B1B07">
      <w:pPr>
        <w:spacing w:before="80" w:after="80"/>
      </w:pPr>
    </w:p>
    <w:p w14:paraId="3946B13C" w14:textId="77777777" w:rsidR="006B1B07" w:rsidRDefault="00000000">
      <w:pPr>
        <w:pStyle w:val="Heading2"/>
      </w:pPr>
      <w:r>
        <w:t>Horizonte recomendado</w:t>
      </w:r>
    </w:p>
    <w:p w14:paraId="680A2502" w14:textId="77777777" w:rsidR="006B1B07" w:rsidRDefault="00000000">
      <w:pPr>
        <w:spacing w:before="60" w:after="60"/>
      </w:pPr>
      <w:r>
        <w:t>Mediano y largo plazo (2-5 años o más) para posiciones direccionales que apuestan a compresión de spreads. Para operatoria MEP/CCL puede ser de muy corto plazo (días), aunque requiere cumplir el "parking".</w:t>
      </w:r>
    </w:p>
    <w:p w14:paraId="683AB23D" w14:textId="77777777" w:rsidR="006B1B07" w:rsidRDefault="006B1B07">
      <w:pPr>
        <w:spacing w:before="80" w:after="80"/>
      </w:pPr>
    </w:p>
    <w:p w14:paraId="2ED4B94F" w14:textId="77777777" w:rsidR="006B1B07" w:rsidRDefault="00000000">
      <w:pPr>
        <w:pStyle w:val="Heading2"/>
      </w:pPr>
      <w:r>
        <w:t>Ticket mínimo y accesibilidad</w:t>
      </w:r>
    </w:p>
    <w:p w14:paraId="31D5DBCC" w14:textId="77777777" w:rsidR="006B1B07" w:rsidRDefault="00000000">
      <w:pPr>
        <w:spacing w:before="60" w:after="60"/>
      </w:pPr>
      <w:r>
        <w:t>Óptima para carteras de USD 1.000-2.000. Las operaciones admiten ingreso desde 1 VNO, equivalente a unas pocas decenas de dólares o su contravalor en pesos.</w:t>
      </w:r>
    </w:p>
    <w:p w14:paraId="745E019D" w14:textId="77777777" w:rsidR="006B1B07" w:rsidRDefault="006B1B07">
      <w:pPr>
        <w:spacing w:before="80" w:after="80"/>
      </w:pPr>
    </w:p>
    <w:p w14:paraId="5570E270" w14:textId="77777777" w:rsidR="006B1B07" w:rsidRDefault="00000000">
      <w:pPr>
        <w:pStyle w:val="Heading2"/>
      </w:pPr>
      <w:r>
        <w:t>¿Cuándo tiene sentido usarlos?</w:t>
      </w:r>
    </w:p>
    <w:p w14:paraId="66ABCD02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t>Para ejecutar compra/venta de dólares MEP o CCL de forma 100% legal sin límites de monto.</w:t>
      </w:r>
    </w:p>
    <w:p w14:paraId="67E4BC43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t>Para construir cartera de renta fija con flujos semestrales en dólares físicos.</w:t>
      </w:r>
    </w:p>
    <w:p w14:paraId="4D173DD1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t>Para especulación de ganancia de capital apostando a que el Riesgo País comprima (sube el precio del bono).</w:t>
      </w:r>
    </w:p>
    <w:p w14:paraId="0FAB4ED9" w14:textId="77777777" w:rsidR="006B1B07" w:rsidRDefault="006B1B07">
      <w:pPr>
        <w:spacing w:before="80" w:after="80"/>
      </w:pPr>
    </w:p>
    <w:p w14:paraId="39FC9F18" w14:textId="77777777" w:rsidR="006B1B07" w:rsidRDefault="00000000">
      <w:pPr>
        <w:pStyle w:val="Heading2"/>
      </w:pPr>
      <w:r>
        <w:t>Dónde ver información actualizada</w:t>
      </w:r>
    </w:p>
    <w:p w14:paraId="2B702167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BYMA Data: </w:t>
      </w:r>
      <w:r>
        <w:t>BYMA Data – Renta Fija / Títulos Públicos: paridades y volúmenes de especies AL y GD.</w:t>
      </w:r>
    </w:p>
    <w:p w14:paraId="07BE436A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MAE: </w:t>
      </w:r>
      <w:r>
        <w:t>MAE (marketdata.mae.com.ar): cotizaciones institucionales mayoristas, referencia de precios.</w:t>
      </w:r>
    </w:p>
    <w:p w14:paraId="292CE891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Brokers: </w:t>
      </w:r>
      <w:r>
        <w:t>Brokers (PPI, Puente, IOL, Allaria): TIR, Duration, Paridad, cronograma de cupones de cada bono. Calculan automáticamente el CCL implícito.</w:t>
      </w:r>
    </w:p>
    <w:p w14:paraId="3AE2B8D9" w14:textId="77777777" w:rsidR="006B1B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Métricas: </w:t>
      </w:r>
      <w:r>
        <w:t>Métricas clave a monitorear: TIR (rendimiento anualizado al vencimiento), Duration (sensibilidad a tasa), Paridad (precio actual / valor técnico).</w:t>
      </w:r>
    </w:p>
    <w:p w14:paraId="26DA4330" w14:textId="77777777" w:rsidR="006B1B07" w:rsidRDefault="006B1B07">
      <w:pPr>
        <w:spacing w:before="80" w:after="80"/>
      </w:pPr>
    </w:p>
    <w:p w14:paraId="1E504090" w14:textId="77777777" w:rsidR="006B1B07" w:rsidRDefault="006B1B07">
      <w:pPr>
        <w:pBdr>
          <w:bottom w:val="single" w:sz="6" w:space="1" w:color="2E6CA4"/>
        </w:pBdr>
        <w:spacing w:before="160" w:after="160"/>
      </w:pPr>
    </w:p>
    <w:p w14:paraId="07C989AA" w14:textId="77777777" w:rsidR="006B1B07" w:rsidRDefault="00000000">
      <w:pPr>
        <w:pStyle w:val="Heading2"/>
      </w:pPr>
      <w:r>
        <w:t>📊 Tabla resumen de atributos</w:t>
      </w:r>
    </w:p>
    <w:p w14:paraId="59B2FED2" w14:textId="77777777" w:rsidR="006B1B07" w:rsidRDefault="006B1B0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B1B07" w14:paraId="057378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A3BE" w14:textId="77777777" w:rsidR="006B1B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879E" w14:textId="77777777" w:rsidR="006B1B07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6B1B07" w14:paraId="41E78A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8BAD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2ED6" w14:textId="77777777" w:rsidR="006B1B07" w:rsidRDefault="00000000">
            <w:r>
              <w:rPr>
                <w:color w:val="333333"/>
                <w:sz w:val="20"/>
                <w:szCs w:val="20"/>
              </w:rPr>
              <w:t>Renta Fija Soberana (deuda pública)</w:t>
            </w:r>
          </w:p>
        </w:tc>
      </w:tr>
      <w:tr w:rsidR="006B1B07" w14:paraId="34246B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0B68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Moneda de cotización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8A32" w14:textId="77777777" w:rsidR="006B1B07" w:rsidRDefault="00000000">
            <w:r>
              <w:rPr>
                <w:color w:val="333333"/>
                <w:sz w:val="20"/>
                <w:szCs w:val="20"/>
              </w:rPr>
              <w:t>Pesos (especie local) / Dólares MEP (especie D) / Cable (especie C)</w:t>
            </w:r>
          </w:p>
        </w:tc>
      </w:tr>
      <w:tr w:rsidR="006B1B07" w14:paraId="05B02F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027A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Exposición económica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E753" w14:textId="77777777" w:rsidR="006B1B07" w:rsidRDefault="00000000">
            <w:r>
              <w:rPr>
                <w:color w:val="333333"/>
                <w:sz w:val="20"/>
                <w:szCs w:val="20"/>
              </w:rPr>
              <w:t>Dólar estadounidense (hard dollar)</w:t>
            </w:r>
          </w:p>
        </w:tc>
      </w:tr>
      <w:tr w:rsidR="006B1B07" w14:paraId="36B6E5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4FC6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Genera renta periódica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3E9D" w14:textId="77777777" w:rsidR="006B1B07" w:rsidRDefault="00000000">
            <w:r>
              <w:rPr>
                <w:color w:val="333333"/>
                <w:sz w:val="20"/>
                <w:szCs w:val="20"/>
              </w:rPr>
              <w:t>Sí (cupones semestrales en USD)</w:t>
            </w:r>
          </w:p>
        </w:tc>
      </w:tr>
      <w:tr w:rsidR="006B1B07" w14:paraId="4AE389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D406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AF44" w14:textId="77777777" w:rsidR="006B1B07" w:rsidRDefault="00000000">
            <w:r>
              <w:rPr>
                <w:color w:val="333333"/>
                <w:sz w:val="20"/>
                <w:szCs w:val="20"/>
              </w:rPr>
              <w:t>Indirecta (vía dólar)</w:t>
            </w:r>
          </w:p>
        </w:tc>
      </w:tr>
      <w:tr w:rsidR="006B1B07" w14:paraId="02C850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9217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2F89" w14:textId="77777777" w:rsidR="006B1B07" w:rsidRDefault="00000000">
            <w:r>
              <w:rPr>
                <w:color w:val="333333"/>
                <w:sz w:val="20"/>
                <w:szCs w:val="20"/>
              </w:rPr>
              <w:t>Sí, dólar billete</w:t>
            </w:r>
          </w:p>
        </w:tc>
      </w:tr>
      <w:tr w:rsidR="006B1B07" w14:paraId="3962C8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B48C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51F3" w14:textId="77777777" w:rsidR="006B1B07" w:rsidRDefault="00000000">
            <w:r>
              <w:rPr>
                <w:color w:val="333333"/>
                <w:sz w:val="20"/>
                <w:szCs w:val="20"/>
              </w:rPr>
              <w:t>Mediano/largo plazo (2-5+ años)</w:t>
            </w:r>
          </w:p>
        </w:tc>
      </w:tr>
      <w:tr w:rsidR="006B1B07" w14:paraId="67B84F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15DF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mínimo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BFDD" w14:textId="77777777" w:rsidR="006B1B07" w:rsidRDefault="00000000">
            <w:r>
              <w:rPr>
                <w:color w:val="333333"/>
                <w:sz w:val="20"/>
                <w:szCs w:val="20"/>
              </w:rPr>
              <w:t>Desde 1 VNO (muy accesible)</w:t>
            </w:r>
          </w:p>
        </w:tc>
      </w:tr>
      <w:tr w:rsidR="006B1B07" w14:paraId="7CD723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4079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Familias principales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320E" w14:textId="77777777" w:rsidR="006B1B07" w:rsidRDefault="00000000">
            <w:r>
              <w:rPr>
                <w:color w:val="333333"/>
                <w:sz w:val="20"/>
                <w:szCs w:val="20"/>
              </w:rPr>
              <w:t>Bonares (Ley Argentina, serie AL) / Globales (Ley NY, serie GD)</w:t>
            </w:r>
          </w:p>
        </w:tc>
      </w:tr>
      <w:tr w:rsidR="006B1B07" w14:paraId="6DDBB6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5642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Mercados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0C4D" w14:textId="77777777" w:rsidR="006B1B07" w:rsidRDefault="00000000">
            <w:r>
              <w:rPr>
                <w:color w:val="333333"/>
                <w:sz w:val="20"/>
                <w:szCs w:val="20"/>
              </w:rPr>
              <w:t>BYMA (minorista) / MAE (institucional)</w:t>
            </w:r>
          </w:p>
        </w:tc>
      </w:tr>
      <w:tr w:rsidR="006B1B07" w14:paraId="5850F0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90EB" w14:textId="77777777" w:rsidR="006B1B07" w:rsidRDefault="00000000">
            <w:r>
              <w:rPr>
                <w:b/>
                <w:bCs/>
                <w:color w:val="1F3864"/>
                <w:sz w:val="20"/>
                <w:szCs w:val="20"/>
              </w:rPr>
              <w:t>Regulador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5B5D" w14:textId="77777777" w:rsidR="006B1B07" w:rsidRDefault="00000000">
            <w:r>
              <w:rPr>
                <w:color w:val="333333"/>
                <w:sz w:val="20"/>
                <w:szCs w:val="20"/>
              </w:rPr>
              <w:t>CNV / Ministerio de Economía</w:t>
            </w:r>
          </w:p>
        </w:tc>
      </w:tr>
    </w:tbl>
    <w:p w14:paraId="34227ACD" w14:textId="77777777" w:rsidR="006B1B07" w:rsidRDefault="006B1B07">
      <w:pPr>
        <w:spacing w:before="80" w:after="80"/>
      </w:pPr>
    </w:p>
    <w:p w14:paraId="29CDE1D7" w14:textId="77777777" w:rsidR="006B1B07" w:rsidRDefault="006B1B07">
      <w:pPr>
        <w:pBdr>
          <w:bottom w:val="single" w:sz="6" w:space="1" w:color="2E6CA4"/>
        </w:pBdr>
        <w:spacing w:before="160" w:after="160"/>
      </w:pPr>
    </w:p>
    <w:sectPr w:rsidR="006B1B0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230FD0" w14:textId="77777777" w:rsidR="00705A51" w:rsidRDefault="00705A51">
      <w:r>
        <w:separator/>
      </w:r>
    </w:p>
  </w:endnote>
  <w:endnote w:type="continuationSeparator" w:id="0">
    <w:p w14:paraId="5C7693D8" w14:textId="77777777" w:rsidR="00705A51" w:rsidRDefault="00705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56BDB2" w14:textId="77777777" w:rsidR="006B1B07" w:rsidRDefault="00000000">
    <w:pPr>
      <w:jc w:val="right"/>
    </w:pPr>
    <w:r>
      <w:rPr>
        <w:color w:val="888888"/>
        <w:sz w:val="18"/>
        <w:szCs w:val="18"/>
      </w:rPr>
      <w:t xml:space="preserve">Wiki de Inversiones · Bonos Soberanos (Hard Dollar)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F360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F14F63" w14:textId="77777777" w:rsidR="00705A51" w:rsidRDefault="00705A51">
      <w:r>
        <w:separator/>
      </w:r>
    </w:p>
  </w:footnote>
  <w:footnote w:type="continuationSeparator" w:id="0">
    <w:p w14:paraId="25E7F996" w14:textId="77777777" w:rsidR="00705A51" w:rsidRDefault="00705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2328F"/>
    <w:multiLevelType w:val="hybridMultilevel"/>
    <w:tmpl w:val="A226FA6E"/>
    <w:lvl w:ilvl="0" w:tplc="1362EE46">
      <w:start w:val="1"/>
      <w:numFmt w:val="bullet"/>
      <w:lvlText w:val="•"/>
      <w:lvlJc w:val="left"/>
      <w:pPr>
        <w:ind w:left="720" w:hanging="360"/>
      </w:pPr>
    </w:lvl>
    <w:lvl w:ilvl="1" w:tplc="876A7BC0">
      <w:numFmt w:val="decimal"/>
      <w:lvlText w:val=""/>
      <w:lvlJc w:val="left"/>
    </w:lvl>
    <w:lvl w:ilvl="2" w:tplc="08645A10">
      <w:numFmt w:val="decimal"/>
      <w:lvlText w:val=""/>
      <w:lvlJc w:val="left"/>
    </w:lvl>
    <w:lvl w:ilvl="3" w:tplc="718A573A">
      <w:numFmt w:val="decimal"/>
      <w:lvlText w:val=""/>
      <w:lvlJc w:val="left"/>
    </w:lvl>
    <w:lvl w:ilvl="4" w:tplc="DAC2DA8E">
      <w:numFmt w:val="decimal"/>
      <w:lvlText w:val=""/>
      <w:lvlJc w:val="left"/>
    </w:lvl>
    <w:lvl w:ilvl="5" w:tplc="24228076">
      <w:numFmt w:val="decimal"/>
      <w:lvlText w:val=""/>
      <w:lvlJc w:val="left"/>
    </w:lvl>
    <w:lvl w:ilvl="6" w:tplc="9CCE1228">
      <w:numFmt w:val="decimal"/>
      <w:lvlText w:val=""/>
      <w:lvlJc w:val="left"/>
    </w:lvl>
    <w:lvl w:ilvl="7" w:tplc="093804DC">
      <w:numFmt w:val="decimal"/>
      <w:lvlText w:val=""/>
      <w:lvlJc w:val="left"/>
    </w:lvl>
    <w:lvl w:ilvl="8" w:tplc="BA7CAB78">
      <w:numFmt w:val="decimal"/>
      <w:lvlText w:val=""/>
      <w:lvlJc w:val="left"/>
    </w:lvl>
  </w:abstractNum>
  <w:abstractNum w:abstractNumId="1" w15:restartNumberingAfterBreak="0">
    <w:nsid w:val="1D3B2733"/>
    <w:multiLevelType w:val="hybridMultilevel"/>
    <w:tmpl w:val="0BFAB6BC"/>
    <w:lvl w:ilvl="0" w:tplc="F81A94C8">
      <w:start w:val="1"/>
      <w:numFmt w:val="bullet"/>
      <w:lvlText w:val="●"/>
      <w:lvlJc w:val="left"/>
      <w:pPr>
        <w:ind w:left="720" w:hanging="360"/>
      </w:pPr>
    </w:lvl>
    <w:lvl w:ilvl="1" w:tplc="3D929202">
      <w:start w:val="1"/>
      <w:numFmt w:val="bullet"/>
      <w:lvlText w:val="○"/>
      <w:lvlJc w:val="left"/>
      <w:pPr>
        <w:ind w:left="1440" w:hanging="360"/>
      </w:pPr>
    </w:lvl>
    <w:lvl w:ilvl="2" w:tplc="BDECAA6C">
      <w:start w:val="1"/>
      <w:numFmt w:val="bullet"/>
      <w:lvlText w:val="■"/>
      <w:lvlJc w:val="left"/>
      <w:pPr>
        <w:ind w:left="2160" w:hanging="360"/>
      </w:pPr>
    </w:lvl>
    <w:lvl w:ilvl="3" w:tplc="6056530A">
      <w:start w:val="1"/>
      <w:numFmt w:val="bullet"/>
      <w:lvlText w:val="●"/>
      <w:lvlJc w:val="left"/>
      <w:pPr>
        <w:ind w:left="2880" w:hanging="360"/>
      </w:pPr>
    </w:lvl>
    <w:lvl w:ilvl="4" w:tplc="3B58F826">
      <w:start w:val="1"/>
      <w:numFmt w:val="bullet"/>
      <w:lvlText w:val="○"/>
      <w:lvlJc w:val="left"/>
      <w:pPr>
        <w:ind w:left="3600" w:hanging="360"/>
      </w:pPr>
    </w:lvl>
    <w:lvl w:ilvl="5" w:tplc="615EB578">
      <w:start w:val="1"/>
      <w:numFmt w:val="bullet"/>
      <w:lvlText w:val="■"/>
      <w:lvlJc w:val="left"/>
      <w:pPr>
        <w:ind w:left="4320" w:hanging="360"/>
      </w:pPr>
    </w:lvl>
    <w:lvl w:ilvl="6" w:tplc="3220561C">
      <w:start w:val="1"/>
      <w:numFmt w:val="bullet"/>
      <w:lvlText w:val="●"/>
      <w:lvlJc w:val="left"/>
      <w:pPr>
        <w:ind w:left="5040" w:hanging="360"/>
      </w:pPr>
    </w:lvl>
    <w:lvl w:ilvl="7" w:tplc="C7221420">
      <w:start w:val="1"/>
      <w:numFmt w:val="bullet"/>
      <w:lvlText w:val="●"/>
      <w:lvlJc w:val="left"/>
      <w:pPr>
        <w:ind w:left="5760" w:hanging="360"/>
      </w:pPr>
    </w:lvl>
    <w:lvl w:ilvl="8" w:tplc="5474522E">
      <w:start w:val="1"/>
      <w:numFmt w:val="bullet"/>
      <w:lvlText w:val="●"/>
      <w:lvlJc w:val="left"/>
      <w:pPr>
        <w:ind w:left="6480" w:hanging="360"/>
      </w:pPr>
    </w:lvl>
  </w:abstractNum>
  <w:num w:numId="1" w16cid:durableId="702052883">
    <w:abstractNumId w:val="1"/>
    <w:lvlOverride w:ilvl="0">
      <w:startOverride w:val="1"/>
    </w:lvlOverride>
  </w:num>
  <w:num w:numId="2" w16cid:durableId="551699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B07"/>
    <w:rsid w:val="004F3609"/>
    <w:rsid w:val="006B1B07"/>
    <w:rsid w:val="00705A51"/>
    <w:rsid w:val="007F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393FBD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707</Words>
  <Characters>4085</Characters>
  <Application>Microsoft Office Word</Application>
  <DocSecurity>0</DocSecurity>
  <Lines>110</Lines>
  <Paragraphs>72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2026-07-12T19:32:00Z</dcterms:modified>
</cp:coreProperties>
</file>