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C2308" w14:textId="77777777" w:rsidR="002007CB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FCI de Renta Fija</w:t>
      </w:r>
    </w:p>
    <w:p w14:paraId="3B58B848" w14:textId="77777777" w:rsidR="002007CB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55A27BD8" w14:textId="77777777" w:rsidR="002007CB" w:rsidRDefault="002007CB">
      <w:pPr>
        <w:pBdr>
          <w:bottom w:val="single" w:sz="6" w:space="1" w:color="2E6CA4"/>
        </w:pBdr>
        <w:spacing w:before="160" w:after="160"/>
      </w:pPr>
    </w:p>
    <w:p w14:paraId="5575F791" w14:textId="77777777" w:rsidR="002007CB" w:rsidRDefault="00000000">
      <w:pPr>
        <w:pStyle w:val="Heading2"/>
      </w:pPr>
      <w:r>
        <w:t>¿Qué es?</w:t>
      </w:r>
    </w:p>
    <w:p w14:paraId="29A7574F" w14:textId="77777777" w:rsidR="002007CB" w:rsidRDefault="00000000">
      <w:pPr>
        <w:spacing w:before="60" w:after="60"/>
      </w:pPr>
      <w:r>
        <w:t>Los FCI de Renta Fija son fondos que invierten principalmente en bonos y otros instrumentos de renta fija. Según su mandato pueden especializarse en:</w:t>
      </w:r>
    </w:p>
    <w:p w14:paraId="13CD3F2E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Bonos en pesos nominales (tasa fija o flotante)</w:t>
      </w:r>
    </w:p>
    <w:p w14:paraId="43FD7425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Bonos CER/UVA (indexados por inflación)</w:t>
      </w:r>
    </w:p>
    <w:p w14:paraId="6D5D7E43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Bonos Dólar Linked (TC oficial)</w:t>
      </w:r>
    </w:p>
    <w:p w14:paraId="36C1D3D7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Bonos Hard Dollar (dólares billete, soberanos o corporativos)</w:t>
      </w:r>
    </w:p>
    <w:p w14:paraId="44E8B08D" w14:textId="77777777" w:rsidR="002007CB" w:rsidRDefault="00000000">
      <w:pPr>
        <w:spacing w:before="60" w:after="60"/>
      </w:pPr>
      <w:r>
        <w:t>A diferencia de los fondos Money Market, estos fondos tienen bonos que cotizan en BYMA y están sujetos a variaciones de precio diarias ("mark-to-market"). Esto los hace más volátiles pero también más potencialmente rentables.</w:t>
      </w:r>
    </w:p>
    <w:p w14:paraId="2DC9FC12" w14:textId="77777777" w:rsidR="002007CB" w:rsidRDefault="002007CB">
      <w:pPr>
        <w:spacing w:before="80" w:after="80"/>
      </w:pPr>
    </w:p>
    <w:p w14:paraId="38D81921" w14:textId="77777777" w:rsidR="002007CB" w:rsidRDefault="00000000">
      <w:pPr>
        <w:pStyle w:val="Heading2"/>
      </w:pPr>
      <w:r>
        <w:t>¿Cómo funciona el flujo de dinero?</w:t>
      </w:r>
    </w:p>
    <w:p w14:paraId="5548D19E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Suscripción: </w:t>
      </w:r>
      <w:r>
        <w:t>Suscripción: transferís pesos (o dólares en algunos fondos) y recibís cuotapartes al valor del día.</w:t>
      </w:r>
    </w:p>
    <w:p w14:paraId="659E70F0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apreciación del Valor de Cuotaparte por cupones recibidos + ganancias/pérdidas de capital de los bonos subyacentes. Todo capitalizado en el precio de la cuotaparte.</w:t>
      </w:r>
    </w:p>
    <w:p w14:paraId="0A5F9F87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Rescate: </w:t>
      </w:r>
      <w:r>
        <w:t>Rescate: solicitás el rescate y los fondos se acreditan en T+1 o T+2 (24-48 hs hábiles) dependiendo del fondo.</w:t>
      </w:r>
    </w:p>
    <w:p w14:paraId="1177A695" w14:textId="77777777" w:rsidR="002007CB" w:rsidRDefault="00000000">
      <w:pPr>
        <w:spacing w:before="60" w:after="60"/>
      </w:pPr>
      <w:r>
        <w:t>Concepto crítico: mark-to-market. Si los bonos del fondo sufren una caída abrupta de precio (ej. crisis de deuda, suba de tasas), el Valor de Cuotaparte baja ese día, exponiendo al inversor a volatilidad que no existe en un fondo Money Market.</w:t>
      </w:r>
    </w:p>
    <w:p w14:paraId="363E5FDF" w14:textId="77777777" w:rsidR="002007CB" w:rsidRDefault="002007CB">
      <w:pPr>
        <w:spacing w:before="80" w:after="80"/>
      </w:pPr>
    </w:p>
    <w:p w14:paraId="11F0BB44" w14:textId="77777777" w:rsidR="002007CB" w:rsidRDefault="00000000">
      <w:pPr>
        <w:pStyle w:val="Heading2"/>
      </w:pPr>
      <w:r>
        <w:t>Moneda de exposición al riesgo</w:t>
      </w:r>
    </w:p>
    <w:p w14:paraId="5B4CDD98" w14:textId="77777777" w:rsidR="002007CB" w:rsidRDefault="00000000">
      <w:pPr>
        <w:spacing w:before="60" w:after="60"/>
      </w:pPr>
      <w:r>
        <w:t>Depende del mandato del fondo: pesos nominales, pesos ajustados (CER), dólar oficial (DL), o dólares billete (Hard Dollar). La exposición es a los activos que el fondo tenga en cartera.</w:t>
      </w:r>
    </w:p>
    <w:p w14:paraId="2EDDEB68" w14:textId="77777777" w:rsidR="002007CB" w:rsidRDefault="002007CB">
      <w:pPr>
        <w:spacing w:before="80" w:after="80"/>
      </w:pPr>
    </w:p>
    <w:p w14:paraId="129CD0CC" w14:textId="77777777" w:rsidR="002007CB" w:rsidRDefault="00000000">
      <w:pPr>
        <w:pStyle w:val="Heading2"/>
      </w:pPr>
      <w:r>
        <w:t>Principales riesgos estructurales</w:t>
      </w:r>
    </w:p>
    <w:p w14:paraId="2502D7AF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Volatilidad: </w:t>
      </w:r>
      <w:r>
        <w:t>Mark-to-market: caídas de precio en los bonos subyacentes se reflejan inmediatamente en el valor de la cuotaparte.</w:t>
      </w:r>
    </w:p>
    <w:p w14:paraId="7919298A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Crédito subyacente: </w:t>
      </w:r>
      <w:r>
        <w:t>Riesgo de crédito de los subyacentes: hereda los riesgos de los bonos soberanos y/o corporativos del portafolio.</w:t>
      </w:r>
    </w:p>
    <w:p w14:paraId="555B9296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gestión: </w:t>
      </w:r>
      <w:r>
        <w:t>Riesgo de gestión: el portfolio manager puede manejar mal la duración o la selección de activos.</w:t>
      </w:r>
    </w:p>
    <w:p w14:paraId="35135D49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Liquidez: </w:t>
      </w:r>
      <w:r>
        <w:t>Riesgo de liquidez diferida: rescates en T+1 o T+2 (no inmediatos como Money Market).</w:t>
      </w:r>
    </w:p>
    <w:p w14:paraId="42EE765D" w14:textId="77777777" w:rsidR="002007CB" w:rsidRDefault="002007CB">
      <w:pPr>
        <w:spacing w:before="80" w:after="80"/>
      </w:pPr>
    </w:p>
    <w:p w14:paraId="513F9424" w14:textId="77777777" w:rsidR="002007CB" w:rsidRDefault="00000000">
      <w:pPr>
        <w:pStyle w:val="Heading2"/>
      </w:pPr>
      <w:r>
        <w:t>Horizonte recomendado</w:t>
      </w:r>
    </w:p>
    <w:p w14:paraId="0F23186D" w14:textId="77777777" w:rsidR="002007CB" w:rsidRDefault="00000000">
      <w:pPr>
        <w:spacing w:before="60" w:after="60"/>
      </w:pPr>
      <w:r>
        <w:t>Corto/mediano plazo (3-12 meses) según la duración promedio de la cartera. Fondos de "corto plazo" o "tasa flotante" apuntan al extremo corto. Fondos de "bonos largos" o "Hard Dollar" pueden tener duración de mediano plazo.</w:t>
      </w:r>
    </w:p>
    <w:p w14:paraId="506CBDED" w14:textId="77777777" w:rsidR="002007CB" w:rsidRDefault="002007CB">
      <w:pPr>
        <w:spacing w:before="80" w:after="80"/>
      </w:pPr>
    </w:p>
    <w:p w14:paraId="76BF0D01" w14:textId="77777777" w:rsidR="002007CB" w:rsidRDefault="00000000">
      <w:pPr>
        <w:pStyle w:val="Heading2"/>
      </w:pPr>
      <w:r>
        <w:t>Ticket mínimo y accesibilidad</w:t>
      </w:r>
    </w:p>
    <w:p w14:paraId="1A62CC63" w14:textId="77777777" w:rsidR="002007CB" w:rsidRDefault="00000000">
      <w:pPr>
        <w:spacing w:before="60" w:after="60"/>
      </w:pPr>
      <w:r>
        <w:t>Muy accesibles: mínimos desde $1.000 pesos, operables via homebanking o broker. Permiten diversificar emisores y vencimientos con poco capital, algo que sería imposible operando bonos individuales.</w:t>
      </w:r>
    </w:p>
    <w:p w14:paraId="5B47B087" w14:textId="77777777" w:rsidR="002007CB" w:rsidRDefault="002007CB">
      <w:pPr>
        <w:spacing w:before="80" w:after="80"/>
      </w:pPr>
    </w:p>
    <w:p w14:paraId="684C1E95" w14:textId="77777777" w:rsidR="002007CB" w:rsidRDefault="00000000">
      <w:pPr>
        <w:pStyle w:val="Heading2"/>
      </w:pPr>
      <w:r>
        <w:t>¿Cuándo tiene sentido usarlos?</w:t>
      </w:r>
    </w:p>
    <w:p w14:paraId="4B3E176A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Cuando querés exposición a renta fija sin tener que elegir bono por bono.</w:t>
      </w:r>
    </w:p>
    <w:p w14:paraId="28151CD2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Para diversificar emisores y vencimientos con poco dinero.</w:t>
      </w:r>
    </w:p>
    <w:p w14:paraId="4CFF5990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t>Como puerta de entrada a CER, Hard Dollar o Dólar Linked sin la complejidad de operar los bonos directamente.</w:t>
      </w:r>
    </w:p>
    <w:p w14:paraId="7B1BC8C5" w14:textId="77777777" w:rsidR="002007CB" w:rsidRDefault="002007CB">
      <w:pPr>
        <w:spacing w:before="80" w:after="80"/>
      </w:pPr>
    </w:p>
    <w:p w14:paraId="73F21723" w14:textId="77777777" w:rsidR="002007CB" w:rsidRDefault="00000000">
      <w:pPr>
        <w:pStyle w:val="Heading2"/>
      </w:pPr>
      <w:r>
        <w:t>Dónde ver información actualizada</w:t>
      </w:r>
    </w:p>
    <w:p w14:paraId="296E975F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CNV: </w:t>
      </w:r>
      <w:r>
        <w:t>CNV / Argentina.gob.ar – Buscador de FCI: lista fondos de renta fija autorizados, por tipo y sociedad gerente.</w:t>
      </w:r>
    </w:p>
    <w:p w14:paraId="12B1E285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CAFCI: </w:t>
      </w:r>
      <w:r>
        <w:t>CAFCI (cafci.org.ar): comparador de fondos con evolución histórica de cuotaparte, duración promedio, cartera, comisiones.</w:t>
      </w:r>
    </w:p>
    <w:p w14:paraId="4D4BB4F9" w14:textId="77777777" w:rsidR="002007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Bancos/Brokers: </w:t>
      </w:r>
      <w:r>
        <w:t>Bancos y ALyCs ("Supermercado de Fondos"): fichas técnicas con rendimiento, duración, rating y composición de cartera.</w:t>
      </w:r>
    </w:p>
    <w:p w14:paraId="6C6A982F" w14:textId="77777777" w:rsidR="002007CB" w:rsidRDefault="002007CB">
      <w:pPr>
        <w:spacing w:before="80" w:after="80"/>
      </w:pPr>
    </w:p>
    <w:p w14:paraId="505D3A36" w14:textId="77777777" w:rsidR="002007CB" w:rsidRDefault="002007CB">
      <w:pPr>
        <w:pBdr>
          <w:bottom w:val="single" w:sz="6" w:space="1" w:color="2E6CA4"/>
        </w:pBdr>
        <w:spacing w:before="160" w:after="160"/>
      </w:pPr>
    </w:p>
    <w:p w14:paraId="238EFC1E" w14:textId="77777777" w:rsidR="002007CB" w:rsidRDefault="00000000">
      <w:pPr>
        <w:pStyle w:val="Heading2"/>
      </w:pPr>
      <w:r>
        <w:t>📊 Tabla resumen de atributos</w:t>
      </w:r>
    </w:p>
    <w:p w14:paraId="3F6ABDDA" w14:textId="77777777" w:rsidR="002007CB" w:rsidRDefault="002007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007CB" w14:paraId="4A07C2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1B73" w14:textId="77777777" w:rsidR="002007CB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0103" w14:textId="77777777" w:rsidR="002007CB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2007CB" w14:paraId="223C5E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777E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DF89" w14:textId="77777777" w:rsidR="002007CB" w:rsidRDefault="00000000">
            <w:r>
              <w:rPr>
                <w:color w:val="333333"/>
                <w:sz w:val="20"/>
                <w:szCs w:val="20"/>
              </w:rPr>
              <w:t>Fondo Común de Inversión (Renta Fija)</w:t>
            </w:r>
          </w:p>
        </w:tc>
      </w:tr>
      <w:tr w:rsidR="002007CB" w14:paraId="6163B2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B0D3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3638" w14:textId="77777777" w:rsidR="002007CB" w:rsidRDefault="00000000">
            <w:r>
              <w:rPr>
                <w:color w:val="333333"/>
                <w:sz w:val="20"/>
                <w:szCs w:val="20"/>
              </w:rPr>
              <w:t>Según mandato: Pesos / CER / Dólar Linked / Hard Dollar</w:t>
            </w:r>
          </w:p>
        </w:tc>
      </w:tr>
      <w:tr w:rsidR="002007CB" w14:paraId="582CBD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1CAB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Plazo de rescate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BA32" w14:textId="77777777" w:rsidR="002007CB" w:rsidRDefault="00000000">
            <w:r>
              <w:rPr>
                <w:color w:val="333333"/>
                <w:sz w:val="20"/>
                <w:szCs w:val="20"/>
              </w:rPr>
              <w:t>T+1 a T+2 según el fondo</w:t>
            </w:r>
          </w:p>
        </w:tc>
      </w:tr>
      <w:tr w:rsidR="002007CB" w14:paraId="5AD9B8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2781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4B9D" w14:textId="77777777" w:rsidR="002007CB" w:rsidRDefault="00000000">
            <w:r>
              <w:rPr>
                <w:color w:val="333333"/>
                <w:sz w:val="20"/>
                <w:szCs w:val="20"/>
              </w:rPr>
              <w:t>Apreciación del valor de cuotaparte + cupones capitalizados</w:t>
            </w:r>
          </w:p>
        </w:tc>
      </w:tr>
      <w:tr w:rsidR="002007CB" w14:paraId="1D6ECD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1BC1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B5FF" w14:textId="77777777" w:rsidR="002007CB" w:rsidRDefault="00000000">
            <w:r>
              <w:rPr>
                <w:color w:val="333333"/>
                <w:sz w:val="20"/>
                <w:szCs w:val="20"/>
              </w:rPr>
              <w:t>Sí (fondos CER) / Parcial (otros)</w:t>
            </w:r>
          </w:p>
        </w:tc>
      </w:tr>
      <w:tr w:rsidR="002007CB" w14:paraId="23DB17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0E3C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EDC9" w14:textId="77777777" w:rsidR="002007CB" w:rsidRDefault="00000000">
            <w:r>
              <w:rPr>
                <w:color w:val="333333"/>
                <w:sz w:val="20"/>
                <w:szCs w:val="20"/>
              </w:rPr>
              <w:t>Sí (fondos Hard Dollar) / Parcial (DL)</w:t>
            </w:r>
          </w:p>
        </w:tc>
      </w:tr>
      <w:tr w:rsidR="002007CB" w14:paraId="35B094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4CA3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D831" w14:textId="77777777" w:rsidR="002007CB" w:rsidRDefault="00000000">
            <w:r>
              <w:rPr>
                <w:color w:val="333333"/>
                <w:sz w:val="20"/>
                <w:szCs w:val="20"/>
              </w:rPr>
              <w:t>Corto/mediano plazo (3-12 meses)</w:t>
            </w:r>
          </w:p>
        </w:tc>
      </w:tr>
      <w:tr w:rsidR="002007CB" w14:paraId="474452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2EB8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D79" w14:textId="77777777" w:rsidR="002007CB" w:rsidRDefault="00000000">
            <w:r>
              <w:rPr>
                <w:color w:val="333333"/>
                <w:sz w:val="20"/>
                <w:szCs w:val="20"/>
              </w:rPr>
              <w:t>Muy bajo (desde ~$1.000 pesos)</w:t>
            </w:r>
          </w:p>
        </w:tc>
      </w:tr>
      <w:tr w:rsidR="002007CB" w14:paraId="31412D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8B89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BE37" w14:textId="77777777" w:rsidR="002007CB" w:rsidRDefault="00000000">
            <w:r>
              <w:rPr>
                <w:color w:val="333333"/>
                <w:sz w:val="20"/>
                <w:szCs w:val="20"/>
              </w:rPr>
              <w:t>CNV</w:t>
            </w:r>
          </w:p>
        </w:tc>
      </w:tr>
      <w:tr w:rsidR="002007CB" w14:paraId="414DB5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379F" w14:textId="77777777" w:rsidR="002007CB" w:rsidRDefault="00000000">
            <w:r>
              <w:rPr>
                <w:b/>
                <w:bCs/>
                <w:color w:val="1F3864"/>
                <w:sz w:val="20"/>
                <w:szCs w:val="20"/>
              </w:rPr>
              <w:t>Riesgo específico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9173" w14:textId="77777777" w:rsidR="002007CB" w:rsidRDefault="00000000">
            <w:r>
              <w:rPr>
                <w:color w:val="333333"/>
                <w:sz w:val="20"/>
                <w:szCs w:val="20"/>
              </w:rPr>
              <w:t>Mark-to-market diario de los bonos subyacentes</w:t>
            </w:r>
          </w:p>
        </w:tc>
      </w:tr>
    </w:tbl>
    <w:p w14:paraId="5D3BCF92" w14:textId="77777777" w:rsidR="002007CB" w:rsidRDefault="002007CB">
      <w:pPr>
        <w:spacing w:before="80" w:after="80"/>
      </w:pPr>
    </w:p>
    <w:p w14:paraId="5A9707F4" w14:textId="77777777" w:rsidR="002007CB" w:rsidRDefault="002007CB">
      <w:pPr>
        <w:pBdr>
          <w:bottom w:val="single" w:sz="6" w:space="1" w:color="2E6CA4"/>
        </w:pBdr>
        <w:spacing w:before="160" w:after="160"/>
      </w:pPr>
    </w:p>
    <w:p w14:paraId="3AFEC7A3" w14:textId="77777777" w:rsidR="002007CB" w:rsidRDefault="002007CB">
      <w:pPr>
        <w:spacing w:before="80" w:after="80"/>
      </w:pPr>
    </w:p>
    <w:sectPr w:rsidR="002007C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6CECE" w14:textId="77777777" w:rsidR="00F90E05" w:rsidRDefault="00F90E05">
      <w:r>
        <w:separator/>
      </w:r>
    </w:p>
  </w:endnote>
  <w:endnote w:type="continuationSeparator" w:id="0">
    <w:p w14:paraId="12184C30" w14:textId="77777777" w:rsidR="00F90E05" w:rsidRDefault="00F9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DE26F5" w14:textId="77777777" w:rsidR="002007CB" w:rsidRDefault="00000000">
    <w:pPr>
      <w:jc w:val="right"/>
    </w:pPr>
    <w:r>
      <w:rPr>
        <w:color w:val="888888"/>
        <w:sz w:val="18"/>
        <w:szCs w:val="18"/>
      </w:rPr>
      <w:t xml:space="preserve">Wiki de Inversiones · FCI de Renta Fija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767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6E030C" w14:textId="77777777" w:rsidR="00F90E05" w:rsidRDefault="00F90E05">
      <w:r>
        <w:separator/>
      </w:r>
    </w:p>
  </w:footnote>
  <w:footnote w:type="continuationSeparator" w:id="0">
    <w:p w14:paraId="5F9C2017" w14:textId="77777777" w:rsidR="00F90E05" w:rsidRDefault="00F90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A30F1A"/>
    <w:multiLevelType w:val="hybridMultilevel"/>
    <w:tmpl w:val="113EEDC0"/>
    <w:lvl w:ilvl="0" w:tplc="86F86A56">
      <w:start w:val="1"/>
      <w:numFmt w:val="bullet"/>
      <w:lvlText w:val="●"/>
      <w:lvlJc w:val="left"/>
      <w:pPr>
        <w:ind w:left="720" w:hanging="360"/>
      </w:pPr>
    </w:lvl>
    <w:lvl w:ilvl="1" w:tplc="F59C2CDE">
      <w:start w:val="1"/>
      <w:numFmt w:val="bullet"/>
      <w:lvlText w:val="○"/>
      <w:lvlJc w:val="left"/>
      <w:pPr>
        <w:ind w:left="1440" w:hanging="360"/>
      </w:pPr>
    </w:lvl>
    <w:lvl w:ilvl="2" w:tplc="9BE08098">
      <w:start w:val="1"/>
      <w:numFmt w:val="bullet"/>
      <w:lvlText w:val="■"/>
      <w:lvlJc w:val="left"/>
      <w:pPr>
        <w:ind w:left="2160" w:hanging="360"/>
      </w:pPr>
    </w:lvl>
    <w:lvl w:ilvl="3" w:tplc="E0BA0050">
      <w:start w:val="1"/>
      <w:numFmt w:val="bullet"/>
      <w:lvlText w:val="●"/>
      <w:lvlJc w:val="left"/>
      <w:pPr>
        <w:ind w:left="2880" w:hanging="360"/>
      </w:pPr>
    </w:lvl>
    <w:lvl w:ilvl="4" w:tplc="674C689A">
      <w:start w:val="1"/>
      <w:numFmt w:val="bullet"/>
      <w:lvlText w:val="○"/>
      <w:lvlJc w:val="left"/>
      <w:pPr>
        <w:ind w:left="3600" w:hanging="360"/>
      </w:pPr>
    </w:lvl>
    <w:lvl w:ilvl="5" w:tplc="75B2AEA8">
      <w:start w:val="1"/>
      <w:numFmt w:val="bullet"/>
      <w:lvlText w:val="■"/>
      <w:lvlJc w:val="left"/>
      <w:pPr>
        <w:ind w:left="4320" w:hanging="360"/>
      </w:pPr>
    </w:lvl>
    <w:lvl w:ilvl="6" w:tplc="EE1E85E6">
      <w:start w:val="1"/>
      <w:numFmt w:val="bullet"/>
      <w:lvlText w:val="●"/>
      <w:lvlJc w:val="left"/>
      <w:pPr>
        <w:ind w:left="5040" w:hanging="360"/>
      </w:pPr>
    </w:lvl>
    <w:lvl w:ilvl="7" w:tplc="5A04DFB0">
      <w:start w:val="1"/>
      <w:numFmt w:val="bullet"/>
      <w:lvlText w:val="●"/>
      <w:lvlJc w:val="left"/>
      <w:pPr>
        <w:ind w:left="5760" w:hanging="360"/>
      </w:pPr>
    </w:lvl>
    <w:lvl w:ilvl="8" w:tplc="08BC93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94764"/>
    <w:multiLevelType w:val="hybridMultilevel"/>
    <w:tmpl w:val="F00CBA5E"/>
    <w:lvl w:ilvl="0" w:tplc="1CD0AD92">
      <w:start w:val="1"/>
      <w:numFmt w:val="bullet"/>
      <w:lvlText w:val="•"/>
      <w:lvlJc w:val="left"/>
      <w:pPr>
        <w:ind w:left="720" w:hanging="360"/>
      </w:pPr>
    </w:lvl>
    <w:lvl w:ilvl="1" w:tplc="333CE24C">
      <w:numFmt w:val="decimal"/>
      <w:lvlText w:val=""/>
      <w:lvlJc w:val="left"/>
    </w:lvl>
    <w:lvl w:ilvl="2" w:tplc="1D7C60BA">
      <w:numFmt w:val="decimal"/>
      <w:lvlText w:val=""/>
      <w:lvlJc w:val="left"/>
    </w:lvl>
    <w:lvl w:ilvl="3" w:tplc="5BAA1C24">
      <w:numFmt w:val="decimal"/>
      <w:lvlText w:val=""/>
      <w:lvlJc w:val="left"/>
    </w:lvl>
    <w:lvl w:ilvl="4" w:tplc="15781CEC">
      <w:numFmt w:val="decimal"/>
      <w:lvlText w:val=""/>
      <w:lvlJc w:val="left"/>
    </w:lvl>
    <w:lvl w:ilvl="5" w:tplc="028052E6">
      <w:numFmt w:val="decimal"/>
      <w:lvlText w:val=""/>
      <w:lvlJc w:val="left"/>
    </w:lvl>
    <w:lvl w:ilvl="6" w:tplc="95D47226">
      <w:numFmt w:val="decimal"/>
      <w:lvlText w:val=""/>
      <w:lvlJc w:val="left"/>
    </w:lvl>
    <w:lvl w:ilvl="7" w:tplc="7C5EA98E">
      <w:numFmt w:val="decimal"/>
      <w:lvlText w:val=""/>
      <w:lvlJc w:val="left"/>
    </w:lvl>
    <w:lvl w:ilvl="8" w:tplc="25C2ED08">
      <w:numFmt w:val="decimal"/>
      <w:lvlText w:val=""/>
      <w:lvlJc w:val="left"/>
    </w:lvl>
  </w:abstractNum>
  <w:num w:numId="1" w16cid:durableId="1567448492">
    <w:abstractNumId w:val="0"/>
    <w:lvlOverride w:ilvl="0">
      <w:startOverride w:val="1"/>
    </w:lvlOverride>
  </w:num>
  <w:num w:numId="2" w16cid:durableId="9367202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7CB"/>
    <w:rsid w:val="002007CB"/>
    <w:rsid w:val="007F26D7"/>
    <w:rsid w:val="008B7677"/>
    <w:rsid w:val="00F9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CA5EA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3245</Characters>
  <Application>Microsoft Office Word</Application>
  <DocSecurity>0</DocSecurity>
  <Lines>87</Lines>
  <Paragraphs>57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2026-07-12T19:31:00Z</dcterms:modified>
</cp:coreProperties>
</file>