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B67C589" w14:textId="77777777" w:rsidR="00335C6D" w:rsidRDefault="00000000">
      <w:pPr>
        <w:spacing w:before="400" w:after="120"/>
        <w:jc w:val="center"/>
      </w:pPr>
      <w:r>
        <w:rPr>
          <w:b/>
          <w:bCs/>
          <w:color w:val="1F3864"/>
          <w:sz w:val="52"/>
          <w:szCs w:val="52"/>
        </w:rPr>
        <w:t>Letras del Tesoro y Provinciales (LECAPs / LECER)</w:t>
      </w:r>
    </w:p>
    <w:p w14:paraId="6712033E" w14:textId="77777777" w:rsidR="00335C6D" w:rsidRDefault="00000000">
      <w:pPr>
        <w:spacing w:after="480"/>
        <w:jc w:val="center"/>
      </w:pPr>
      <w:r>
        <w:rPr>
          <w:i/>
          <w:iCs/>
          <w:color w:val="555555"/>
          <w:sz w:val="24"/>
          <w:szCs w:val="24"/>
        </w:rPr>
        <w:t>Wiki de Inversiones · Mercado Argentino</w:t>
      </w:r>
    </w:p>
    <w:p w14:paraId="39133FA2" w14:textId="77777777" w:rsidR="00335C6D" w:rsidRDefault="00335C6D">
      <w:pPr>
        <w:pBdr>
          <w:bottom w:val="single" w:sz="6" w:space="1" w:color="2E6CA4"/>
        </w:pBdr>
        <w:spacing w:before="160" w:after="160"/>
      </w:pPr>
    </w:p>
    <w:p w14:paraId="327D0916" w14:textId="77777777" w:rsidR="00335C6D" w:rsidRDefault="00000000">
      <w:pPr>
        <w:pStyle w:val="Heading2"/>
      </w:pPr>
      <w:r>
        <w:t>¿Qué es?</w:t>
      </w:r>
    </w:p>
    <w:p w14:paraId="01D265AA" w14:textId="77777777" w:rsidR="00335C6D" w:rsidRDefault="00000000">
      <w:pPr>
        <w:spacing w:before="60" w:after="60"/>
      </w:pPr>
      <w:r>
        <w:t>Las Letras del Tesoro Nacional y las Letras Provinciales son instrumentos de deuda de corto plazo. Tienen la misma esencia jurídica que un bono soberano pero con vencimientos de hasta 365 días, orientadas a financiar desajustes de liquidez transitorios del Estado o las provincias.</w:t>
      </w:r>
    </w:p>
    <w:p w14:paraId="7F92E7F8" w14:textId="77777777" w:rsidR="00335C6D" w:rsidRDefault="00000000">
      <w:pPr>
        <w:spacing w:before="60" w:after="60"/>
      </w:pPr>
      <w:r>
        <w:t>Principales variantes:</w:t>
      </w:r>
    </w:p>
    <w:p w14:paraId="41DA24A9" w14:textId="77777777" w:rsidR="00335C6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LECAPs: </w:t>
      </w:r>
      <w:r>
        <w:t>LECAPs (Letras Capitalizables): tasa fija nominal que capitaliza periódicamente. Sin cupones intermedios: comprás hoy y cobrás capital + intereses acumulados al vencimiento.</w:t>
      </w:r>
    </w:p>
    <w:p w14:paraId="68BD32B2" w14:textId="77777777" w:rsidR="00335C6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LECER: </w:t>
      </w:r>
      <w:r>
        <w:t>LECER (Letras CER): ajustadas por inflación (CER). Protegen el poder adquisitivo real en el corto plazo.</w:t>
      </w:r>
    </w:p>
    <w:p w14:paraId="3D4EC58F" w14:textId="77777777" w:rsidR="00335C6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LELINK: </w:t>
      </w:r>
      <w:r>
        <w:t>LELINK / DL: letras dólar linked, vinculadas al tipo de cambio oficial.</w:t>
      </w:r>
    </w:p>
    <w:p w14:paraId="11FDD233" w14:textId="77777777" w:rsidR="00335C6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Provinciales: </w:t>
      </w:r>
      <w:r>
        <w:t>Letras Provinciales: emitidas por tesorerías provinciales (ej. Provincia de Buenos Aires). Riesgo algo mayor que el soberano nacional, pero accesibles via ALyCs.</w:t>
      </w:r>
    </w:p>
    <w:p w14:paraId="51759A6F" w14:textId="77777777" w:rsidR="00335C6D" w:rsidRDefault="00000000">
      <w:pPr>
        <w:spacing w:before="60" w:after="60"/>
      </w:pPr>
      <w:r>
        <w:t>Estructura: se negocian a descuento (comprás a un precio menor al valor nominal) o con capitalización bullet. No hay flujos intermedios; el rendimiento se realiza íntegramente al vencimiento.</w:t>
      </w:r>
    </w:p>
    <w:p w14:paraId="27B27F19" w14:textId="77777777" w:rsidR="00335C6D" w:rsidRDefault="00335C6D">
      <w:pPr>
        <w:spacing w:before="80" w:after="80"/>
      </w:pPr>
    </w:p>
    <w:p w14:paraId="05C2B5B5" w14:textId="77777777" w:rsidR="00335C6D" w:rsidRDefault="00000000">
      <w:pPr>
        <w:pStyle w:val="Heading2"/>
      </w:pPr>
      <w:r>
        <w:t>¿Cómo funciona el flujo de dinero?</w:t>
      </w:r>
    </w:p>
    <w:p w14:paraId="19C18925" w14:textId="77777777" w:rsidR="00335C6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Entrada: </w:t>
      </w:r>
      <w:r>
        <w:t>Entrada: comprás la letra en el mercado secundario (BYMA/ALyC) pagando un precio menor al valor nominal, o participás en una licitación primaria del Ministerio de Economía.</w:t>
      </w:r>
    </w:p>
    <w:p w14:paraId="30B7003F" w14:textId="77777777" w:rsidR="00335C6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Rendimiento: </w:t>
      </w:r>
      <w:r>
        <w:t>Rendimiento: al vencimiento cobrás el valor nominal completo (capital + rendimiento acumulado). La TIR es la diferencia entre precio de compra y valor al vencimiento, anualizada.</w:t>
      </w:r>
    </w:p>
    <w:p w14:paraId="77914660" w14:textId="77777777" w:rsidR="00335C6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Salida anticipada: </w:t>
      </w:r>
      <w:r>
        <w:t>Salida anticipada: vendés en el mercado secundario al precio de mercado vigente, capturando parte del rendimiento.</w:t>
      </w:r>
    </w:p>
    <w:p w14:paraId="1B45DABF" w14:textId="77777777" w:rsidR="00335C6D" w:rsidRDefault="00335C6D">
      <w:pPr>
        <w:spacing w:before="80" w:after="80"/>
      </w:pPr>
    </w:p>
    <w:p w14:paraId="61E58D41" w14:textId="77777777" w:rsidR="00335C6D" w:rsidRDefault="00000000">
      <w:pPr>
        <w:pStyle w:val="Heading2"/>
      </w:pPr>
      <w:r>
        <w:t>Moneda de exposición al riesgo</w:t>
      </w:r>
    </w:p>
    <w:p w14:paraId="3E68D579" w14:textId="77777777" w:rsidR="00335C6D" w:rsidRDefault="00000000">
      <w:pPr>
        <w:spacing w:before="60" w:after="60"/>
      </w:pPr>
      <w:r>
        <w:t>Típicamente pesos (LECAPs y LECER) o dólar oficial (LELINK). El riesgo es en moneda nacional soberana: la principal amenaza es un salto en los tipos de cambio libres que dolarice comparaciones de poder adquisitivo antes del vencimiento.</w:t>
      </w:r>
    </w:p>
    <w:p w14:paraId="56D25B26" w14:textId="77777777" w:rsidR="00335C6D" w:rsidRDefault="00335C6D">
      <w:pPr>
        <w:spacing w:before="80" w:after="80"/>
      </w:pPr>
    </w:p>
    <w:p w14:paraId="5EFF92A0" w14:textId="77777777" w:rsidR="00335C6D" w:rsidRDefault="00000000">
      <w:pPr>
        <w:pStyle w:val="Heading2"/>
      </w:pPr>
      <w:r>
        <w:lastRenderedPageBreak/>
        <w:t>Principales riesgos estructurales</w:t>
      </w:r>
    </w:p>
    <w:p w14:paraId="0DA8EB74" w14:textId="77777777" w:rsidR="00335C6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Riesgo soberano: </w:t>
      </w:r>
      <w:r>
        <w:t>Riesgo de crédito soberano/provincial: similares a bonos pero con vencimiento más corto, lo que reduce exposición temporal al riesgo.</w:t>
      </w:r>
    </w:p>
    <w:p w14:paraId="245D8720" w14:textId="77777777" w:rsidR="00335C6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Riesgo rollover: </w:t>
      </w:r>
      <w:r>
        <w:t>Riesgo de rollover: el Estado debe refinanciar continuamente los vencimientos. Una licitación desierta puede ser señal de estrés.</w:t>
      </w:r>
    </w:p>
    <w:p w14:paraId="3315A321" w14:textId="77777777" w:rsidR="00335C6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Riesgo cambiario: </w:t>
      </w:r>
      <w:r>
        <w:t>Riesgo cambiario (LECAPs): si el dólar libre sube más rápido que la TIR de la letra, el rendimiento en divisas se erosiona.</w:t>
      </w:r>
    </w:p>
    <w:p w14:paraId="601FEDEC" w14:textId="77777777" w:rsidR="00335C6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Riesgo de tasa: </w:t>
      </w:r>
      <w:r>
        <w:t>Riesgo de tasa: si la tasa de mercado sube antes del vencimiento, el precio de la letra en el secundario puede caer (aunque si se lleva a vencimiento esto no importa).</w:t>
      </w:r>
    </w:p>
    <w:p w14:paraId="43F754C5" w14:textId="77777777" w:rsidR="00335C6D" w:rsidRDefault="00335C6D">
      <w:pPr>
        <w:spacing w:before="80" w:after="80"/>
      </w:pPr>
    </w:p>
    <w:p w14:paraId="027BE1D6" w14:textId="77777777" w:rsidR="00335C6D" w:rsidRDefault="00000000">
      <w:pPr>
        <w:pStyle w:val="Heading2"/>
      </w:pPr>
      <w:r>
        <w:t>Horizonte recomendado</w:t>
      </w:r>
    </w:p>
    <w:p w14:paraId="6593812B" w14:textId="77777777" w:rsidR="00335C6D" w:rsidRDefault="00000000">
      <w:pPr>
        <w:spacing w:before="60" w:after="60"/>
      </w:pPr>
      <w:r>
        <w:t>Corto plazo (30-365 días), alineado con el vencimiento de la letra elegida. Son la herramienta de renta fija más accesible para el corto plazo, superior a un plazo fijo en términos de liquidez (pueden venderse antes del vencimiento).</w:t>
      </w:r>
    </w:p>
    <w:p w14:paraId="66CF31D4" w14:textId="77777777" w:rsidR="00335C6D" w:rsidRDefault="00335C6D">
      <w:pPr>
        <w:spacing w:before="80" w:after="80"/>
      </w:pPr>
    </w:p>
    <w:p w14:paraId="35B76F61" w14:textId="77777777" w:rsidR="00335C6D" w:rsidRDefault="00000000">
      <w:pPr>
        <w:pStyle w:val="Heading2"/>
      </w:pPr>
      <w:r>
        <w:t>Ticket mínimo y accesibilidad</w:t>
      </w:r>
    </w:p>
    <w:p w14:paraId="59389C27" w14:textId="77777777" w:rsidR="00335C6D" w:rsidRDefault="00000000">
      <w:pPr>
        <w:spacing w:before="60" w:after="60"/>
      </w:pPr>
      <w:r>
        <w:t>Muy accesibles. Licitaciones primarias desde $10.000 pesos. En el mercado secundario con fraccionamientos menores. Operables via ALyC tanto en primario como en secundario.</w:t>
      </w:r>
    </w:p>
    <w:p w14:paraId="6BCB5BAF" w14:textId="77777777" w:rsidR="00335C6D" w:rsidRDefault="00335C6D">
      <w:pPr>
        <w:spacing w:before="80" w:after="80"/>
      </w:pPr>
    </w:p>
    <w:p w14:paraId="73892868" w14:textId="77777777" w:rsidR="00335C6D" w:rsidRDefault="00000000">
      <w:pPr>
        <w:pStyle w:val="Heading2"/>
      </w:pPr>
      <w:r>
        <w:t>¿Cuándo tiene sentido usarlas?</w:t>
      </w:r>
    </w:p>
    <w:p w14:paraId="6FE003E8" w14:textId="77777777" w:rsidR="00335C6D" w:rsidRDefault="00000000">
      <w:pPr>
        <w:pStyle w:val="ListParagraph"/>
        <w:numPr>
          <w:ilvl w:val="0"/>
          <w:numId w:val="2"/>
        </w:numPr>
        <w:spacing w:before="40" w:after="40"/>
      </w:pPr>
      <w:r>
        <w:t>Como alternativa más flexible y potencialmente más rentable al plazo fijo bancario de corto plazo.</w:t>
      </w:r>
    </w:p>
    <w:p w14:paraId="0002CB4E" w14:textId="77777777" w:rsidR="00335C6D" w:rsidRDefault="00000000">
      <w:pPr>
        <w:pStyle w:val="ListParagraph"/>
        <w:numPr>
          <w:ilvl w:val="0"/>
          <w:numId w:val="2"/>
        </w:numPr>
        <w:spacing w:before="40" w:after="40"/>
      </w:pPr>
      <w:r>
        <w:t>Para eficientizar la tasa de rendimiento de pesos en el corto plazo con liquidez en el secundario.</w:t>
      </w:r>
    </w:p>
    <w:p w14:paraId="063E11BB" w14:textId="77777777" w:rsidR="00335C6D" w:rsidRDefault="00000000">
      <w:pPr>
        <w:pStyle w:val="ListParagraph"/>
        <w:numPr>
          <w:ilvl w:val="0"/>
          <w:numId w:val="2"/>
        </w:numPr>
        <w:spacing w:before="40" w:after="40"/>
      </w:pPr>
      <w:r>
        <w:t>LECER: cuando se quiere protección inflacionaria a corto plazo sin la rigidez del plazo fijo UVA (180 días).</w:t>
      </w:r>
    </w:p>
    <w:p w14:paraId="163AF4BA" w14:textId="77777777" w:rsidR="00335C6D" w:rsidRDefault="00000000">
      <w:pPr>
        <w:pStyle w:val="ListParagraph"/>
        <w:numPr>
          <w:ilvl w:val="0"/>
          <w:numId w:val="2"/>
        </w:numPr>
        <w:spacing w:before="40" w:after="40"/>
      </w:pPr>
      <w:r>
        <w:t>Para posicionarse en puntos específicos de la curva de corto plazo según expectativas de tasa o inflación.</w:t>
      </w:r>
    </w:p>
    <w:p w14:paraId="6ECB30F2" w14:textId="77777777" w:rsidR="00335C6D" w:rsidRDefault="00335C6D">
      <w:pPr>
        <w:spacing w:before="80" w:after="80"/>
      </w:pPr>
    </w:p>
    <w:p w14:paraId="0421AF92" w14:textId="77777777" w:rsidR="00335C6D" w:rsidRDefault="00000000">
      <w:pPr>
        <w:pStyle w:val="Heading2"/>
      </w:pPr>
      <w:r>
        <w:t>Dónde ver información actualizada</w:t>
      </w:r>
    </w:p>
    <w:p w14:paraId="1B59147C" w14:textId="77777777" w:rsidR="00335C6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Min. Economía: </w:t>
      </w:r>
      <w:r>
        <w:t>Ministerio de Economía (argentina.gob.ar/economia/licitaciones): cronograma de licitaciones primarias 2025-2026, resultados, tasas de corte.</w:t>
      </w:r>
    </w:p>
    <w:p w14:paraId="4373A579" w14:textId="77777777" w:rsidR="00335C6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MAE: </w:t>
      </w:r>
      <w:r>
        <w:t>MAE (marketdata.mae.com.ar/licitaciones): calendario y resultados de licitaciones primarias.</w:t>
      </w:r>
    </w:p>
    <w:p w14:paraId="469FF749" w14:textId="77777777" w:rsidR="00335C6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BYMA / Brokers: </w:t>
      </w:r>
      <w:r>
        <w:t>BYMA Data / paneles de brokers: cotizaciones en tiempo real, TIR, precio limpio y sucio de letras en el secundario.</w:t>
      </w:r>
    </w:p>
    <w:p w14:paraId="01DE8DAE" w14:textId="77777777" w:rsidR="00335C6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IOL: </w:t>
      </w:r>
      <w:r>
        <w:t>IOL (invertironline.com/productos/letras-lecaps): guías prácticas para invertir en LECAPs paso a paso.</w:t>
      </w:r>
    </w:p>
    <w:p w14:paraId="51EDFDBD" w14:textId="77777777" w:rsidR="00335C6D" w:rsidRDefault="00335C6D">
      <w:pPr>
        <w:spacing w:before="80" w:after="80"/>
      </w:pPr>
    </w:p>
    <w:p w14:paraId="322C17FA" w14:textId="77777777" w:rsidR="00335C6D" w:rsidRDefault="00335C6D">
      <w:pPr>
        <w:pBdr>
          <w:bottom w:val="single" w:sz="6" w:space="1" w:color="2E6CA4"/>
        </w:pBdr>
        <w:spacing w:before="160" w:after="160"/>
      </w:pPr>
    </w:p>
    <w:p w14:paraId="60A093E8" w14:textId="77777777" w:rsidR="00335C6D" w:rsidRDefault="00000000">
      <w:pPr>
        <w:pStyle w:val="Heading2"/>
      </w:pPr>
      <w:r>
        <w:t>📊 Tabla resumen de atributos</w:t>
      </w:r>
    </w:p>
    <w:p w14:paraId="0B570D11" w14:textId="77777777" w:rsidR="00335C6D" w:rsidRDefault="00335C6D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760"/>
      </w:tblGrid>
      <w:tr w:rsidR="00335C6D" w14:paraId="1506C2B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CFA3A" w14:textId="77777777" w:rsidR="00335C6D" w:rsidRDefault="00000000">
            <w:r>
              <w:rPr>
                <w:b/>
                <w:bCs/>
                <w:color w:val="FFFFFF"/>
                <w:sz w:val="20"/>
                <w:szCs w:val="20"/>
              </w:rPr>
              <w:t>Atributo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6CA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84DA1" w14:textId="77777777" w:rsidR="00335C6D" w:rsidRDefault="00000000">
            <w:r>
              <w:rPr>
                <w:color w:val="FFFFFF"/>
                <w:sz w:val="20"/>
                <w:szCs w:val="20"/>
              </w:rPr>
              <w:t>Valor</w:t>
            </w:r>
          </w:p>
        </w:tc>
      </w:tr>
      <w:tr w:rsidR="00335C6D" w14:paraId="4F2E48A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8231F" w14:textId="77777777" w:rsidR="00335C6D" w:rsidRDefault="00000000">
            <w:r>
              <w:rPr>
                <w:b/>
                <w:bCs/>
                <w:color w:val="1F3864"/>
                <w:sz w:val="20"/>
                <w:szCs w:val="20"/>
              </w:rPr>
              <w:t>Tipo de instrumento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82ACA" w14:textId="77777777" w:rsidR="00335C6D" w:rsidRDefault="00000000">
            <w:r>
              <w:rPr>
                <w:color w:val="333333"/>
                <w:sz w:val="20"/>
                <w:szCs w:val="20"/>
              </w:rPr>
              <w:t>Renta Fija Soberana/Provincial de muy corto plazo</w:t>
            </w:r>
          </w:p>
        </w:tc>
      </w:tr>
      <w:tr w:rsidR="00335C6D" w14:paraId="323DE73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5C3CC" w14:textId="77777777" w:rsidR="00335C6D" w:rsidRDefault="00000000">
            <w:r>
              <w:rPr>
                <w:b/>
                <w:bCs/>
                <w:color w:val="1F3864"/>
                <w:sz w:val="20"/>
                <w:szCs w:val="20"/>
              </w:rPr>
              <w:t>Variantes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54B7E" w14:textId="77777777" w:rsidR="00335C6D" w:rsidRDefault="00000000">
            <w:r>
              <w:rPr>
                <w:color w:val="333333"/>
                <w:sz w:val="20"/>
                <w:szCs w:val="20"/>
              </w:rPr>
              <w:t>LECAPs (tasa fija capitalizable) / LECER (CER) / Letras provinciales</w:t>
            </w:r>
          </w:p>
        </w:tc>
      </w:tr>
      <w:tr w:rsidR="00335C6D" w14:paraId="525FA42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BAC35" w14:textId="77777777" w:rsidR="00335C6D" w:rsidRDefault="00000000">
            <w:r>
              <w:rPr>
                <w:b/>
                <w:bCs/>
                <w:color w:val="1F3864"/>
                <w:sz w:val="20"/>
                <w:szCs w:val="20"/>
              </w:rPr>
              <w:t>Moneda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A1977" w14:textId="77777777" w:rsidR="00335C6D" w:rsidRDefault="00000000">
            <w:r>
              <w:rPr>
                <w:color w:val="333333"/>
                <w:sz w:val="20"/>
                <w:szCs w:val="20"/>
              </w:rPr>
              <w:t>Pesos / Dólar Linked (según serie)</w:t>
            </w:r>
          </w:p>
        </w:tc>
      </w:tr>
      <w:tr w:rsidR="00335C6D" w14:paraId="3912A99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92F4E" w14:textId="77777777" w:rsidR="00335C6D" w:rsidRDefault="00000000">
            <w:r>
              <w:rPr>
                <w:b/>
                <w:bCs/>
                <w:color w:val="1F3864"/>
                <w:sz w:val="20"/>
                <w:szCs w:val="20"/>
              </w:rPr>
              <w:t>Estructura de rendimiento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89395" w14:textId="77777777" w:rsidR="00335C6D" w:rsidRDefault="00000000">
            <w:r>
              <w:rPr>
                <w:color w:val="333333"/>
                <w:sz w:val="20"/>
                <w:szCs w:val="20"/>
              </w:rPr>
              <w:t>A descuento o capitalización bullet (sin cupones intermedios)</w:t>
            </w:r>
          </w:p>
        </w:tc>
      </w:tr>
      <w:tr w:rsidR="00335C6D" w14:paraId="6B4E0C3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03C34" w14:textId="77777777" w:rsidR="00335C6D" w:rsidRDefault="00000000">
            <w:r>
              <w:rPr>
                <w:b/>
                <w:bCs/>
                <w:color w:val="1F3864"/>
                <w:sz w:val="20"/>
                <w:szCs w:val="20"/>
              </w:rPr>
              <w:t>Cobertura inflación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25B86" w14:textId="77777777" w:rsidR="00335C6D" w:rsidRDefault="00000000">
            <w:r>
              <w:rPr>
                <w:color w:val="333333"/>
                <w:sz w:val="20"/>
                <w:szCs w:val="20"/>
              </w:rPr>
              <w:t>Sí (LECER) / No (LECAP)</w:t>
            </w:r>
          </w:p>
        </w:tc>
      </w:tr>
      <w:tr w:rsidR="00335C6D" w14:paraId="13CF7EF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70FA4" w14:textId="77777777" w:rsidR="00335C6D" w:rsidRDefault="00000000">
            <w:r>
              <w:rPr>
                <w:b/>
                <w:bCs/>
                <w:color w:val="1F3864"/>
                <w:sz w:val="20"/>
                <w:szCs w:val="20"/>
              </w:rPr>
              <w:t>Cobertura dólar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FDDDE" w14:textId="77777777" w:rsidR="00335C6D" w:rsidRDefault="00000000">
            <w:r>
              <w:rPr>
                <w:color w:val="333333"/>
                <w:sz w:val="20"/>
                <w:szCs w:val="20"/>
              </w:rPr>
              <w:t>Solo en series DL</w:t>
            </w:r>
          </w:p>
        </w:tc>
      </w:tr>
      <w:tr w:rsidR="00335C6D" w14:paraId="7268F88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5AF9B" w14:textId="77777777" w:rsidR="00335C6D" w:rsidRDefault="00000000">
            <w:r>
              <w:rPr>
                <w:b/>
                <w:bCs/>
                <w:color w:val="1F3864"/>
                <w:sz w:val="20"/>
                <w:szCs w:val="20"/>
              </w:rPr>
              <w:t>Horizonte recomendado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E8ECB" w14:textId="77777777" w:rsidR="00335C6D" w:rsidRDefault="00000000">
            <w:r>
              <w:rPr>
                <w:color w:val="333333"/>
                <w:sz w:val="20"/>
                <w:szCs w:val="20"/>
              </w:rPr>
              <w:t>Corto plazo (30-365 días)</w:t>
            </w:r>
          </w:p>
        </w:tc>
      </w:tr>
      <w:tr w:rsidR="00335C6D" w14:paraId="69C2ED8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126952" w14:textId="77777777" w:rsidR="00335C6D" w:rsidRDefault="00000000">
            <w:r>
              <w:rPr>
                <w:b/>
                <w:bCs/>
                <w:color w:val="1F3864"/>
                <w:sz w:val="20"/>
                <w:szCs w:val="20"/>
              </w:rPr>
              <w:t>Ticket mínimo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F3D64" w14:textId="77777777" w:rsidR="00335C6D" w:rsidRDefault="00000000">
            <w:r>
              <w:rPr>
                <w:color w:val="333333"/>
                <w:sz w:val="20"/>
                <w:szCs w:val="20"/>
              </w:rPr>
              <w:t>Desde $10.000 pesos en licitación primaria</w:t>
            </w:r>
          </w:p>
        </w:tc>
      </w:tr>
      <w:tr w:rsidR="00335C6D" w14:paraId="0BB92FC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064AE" w14:textId="77777777" w:rsidR="00335C6D" w:rsidRDefault="00000000">
            <w:r>
              <w:rPr>
                <w:b/>
                <w:bCs/>
                <w:color w:val="1F3864"/>
                <w:sz w:val="20"/>
                <w:szCs w:val="20"/>
              </w:rPr>
              <w:t>Acceso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37054" w14:textId="77777777" w:rsidR="00335C6D" w:rsidRDefault="00000000">
            <w:r>
              <w:rPr>
                <w:color w:val="333333"/>
                <w:sz w:val="20"/>
                <w:szCs w:val="20"/>
              </w:rPr>
              <w:t>ALyCs en mercado secundario / Licitaciones primarias del Tesoro</w:t>
            </w:r>
          </w:p>
        </w:tc>
      </w:tr>
      <w:tr w:rsidR="00335C6D" w14:paraId="487B7F2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B3A17" w14:textId="77777777" w:rsidR="00335C6D" w:rsidRDefault="00000000">
            <w:r>
              <w:rPr>
                <w:b/>
                <w:bCs/>
                <w:color w:val="1F3864"/>
                <w:sz w:val="20"/>
                <w:szCs w:val="20"/>
              </w:rPr>
              <w:t>Regulador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058CC" w14:textId="77777777" w:rsidR="00335C6D" w:rsidRDefault="00000000">
            <w:r>
              <w:rPr>
                <w:color w:val="333333"/>
                <w:sz w:val="20"/>
                <w:szCs w:val="20"/>
              </w:rPr>
              <w:t>Ministerio de Economía / CNV / reguladores provinciales</w:t>
            </w:r>
          </w:p>
        </w:tc>
      </w:tr>
    </w:tbl>
    <w:p w14:paraId="44C9A401" w14:textId="77777777" w:rsidR="00335C6D" w:rsidRDefault="00335C6D">
      <w:pPr>
        <w:spacing w:before="80" w:after="80"/>
      </w:pPr>
    </w:p>
    <w:p w14:paraId="06A593FB" w14:textId="77777777" w:rsidR="00335C6D" w:rsidRDefault="00335C6D">
      <w:pPr>
        <w:pBdr>
          <w:bottom w:val="single" w:sz="6" w:space="1" w:color="2E6CA4"/>
        </w:pBdr>
        <w:spacing w:before="160" w:after="160"/>
      </w:pPr>
    </w:p>
    <w:p w14:paraId="33A1906D" w14:textId="77777777" w:rsidR="00335C6D" w:rsidRDefault="00335C6D">
      <w:pPr>
        <w:spacing w:before="80" w:after="80"/>
      </w:pPr>
    </w:p>
    <w:sectPr w:rsidR="00335C6D">
      <w:footerReference w:type="default" r:id="rId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043E97D" w14:textId="77777777" w:rsidR="00445BB7" w:rsidRDefault="00445BB7">
      <w:r>
        <w:separator/>
      </w:r>
    </w:p>
  </w:endnote>
  <w:endnote w:type="continuationSeparator" w:id="0">
    <w:p w14:paraId="39572922" w14:textId="77777777" w:rsidR="00445BB7" w:rsidRDefault="00445B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2E98B9A" w14:textId="77777777" w:rsidR="00335C6D" w:rsidRDefault="00000000">
    <w:pPr>
      <w:jc w:val="right"/>
    </w:pPr>
    <w:r>
      <w:rPr>
        <w:color w:val="888888"/>
        <w:sz w:val="18"/>
        <w:szCs w:val="18"/>
      </w:rPr>
      <w:t xml:space="preserve">Wiki de Inversiones · Letras del Tesoro y Provinciales (LECAPs / LECER) · Página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A604E2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D553C0D" w14:textId="77777777" w:rsidR="00445BB7" w:rsidRDefault="00445BB7">
      <w:r>
        <w:separator/>
      </w:r>
    </w:p>
  </w:footnote>
  <w:footnote w:type="continuationSeparator" w:id="0">
    <w:p w14:paraId="7CF3E79C" w14:textId="77777777" w:rsidR="00445BB7" w:rsidRDefault="00445BB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2A67789"/>
    <w:multiLevelType w:val="hybridMultilevel"/>
    <w:tmpl w:val="117AFBAA"/>
    <w:lvl w:ilvl="0" w:tplc="4BF688FC">
      <w:start w:val="1"/>
      <w:numFmt w:val="bullet"/>
      <w:lvlText w:val="●"/>
      <w:lvlJc w:val="left"/>
      <w:pPr>
        <w:ind w:left="720" w:hanging="360"/>
      </w:pPr>
    </w:lvl>
    <w:lvl w:ilvl="1" w:tplc="9A2C2758">
      <w:start w:val="1"/>
      <w:numFmt w:val="bullet"/>
      <w:lvlText w:val="○"/>
      <w:lvlJc w:val="left"/>
      <w:pPr>
        <w:ind w:left="1440" w:hanging="360"/>
      </w:pPr>
    </w:lvl>
    <w:lvl w:ilvl="2" w:tplc="AB101E7E">
      <w:start w:val="1"/>
      <w:numFmt w:val="bullet"/>
      <w:lvlText w:val="■"/>
      <w:lvlJc w:val="left"/>
      <w:pPr>
        <w:ind w:left="2160" w:hanging="360"/>
      </w:pPr>
    </w:lvl>
    <w:lvl w:ilvl="3" w:tplc="19985B6C">
      <w:start w:val="1"/>
      <w:numFmt w:val="bullet"/>
      <w:lvlText w:val="●"/>
      <w:lvlJc w:val="left"/>
      <w:pPr>
        <w:ind w:left="2880" w:hanging="360"/>
      </w:pPr>
    </w:lvl>
    <w:lvl w:ilvl="4" w:tplc="D52472DA">
      <w:start w:val="1"/>
      <w:numFmt w:val="bullet"/>
      <w:lvlText w:val="○"/>
      <w:lvlJc w:val="left"/>
      <w:pPr>
        <w:ind w:left="3600" w:hanging="360"/>
      </w:pPr>
    </w:lvl>
    <w:lvl w:ilvl="5" w:tplc="98CC4CF8">
      <w:start w:val="1"/>
      <w:numFmt w:val="bullet"/>
      <w:lvlText w:val="■"/>
      <w:lvlJc w:val="left"/>
      <w:pPr>
        <w:ind w:left="4320" w:hanging="360"/>
      </w:pPr>
    </w:lvl>
    <w:lvl w:ilvl="6" w:tplc="2D1CDCC6">
      <w:start w:val="1"/>
      <w:numFmt w:val="bullet"/>
      <w:lvlText w:val="●"/>
      <w:lvlJc w:val="left"/>
      <w:pPr>
        <w:ind w:left="5040" w:hanging="360"/>
      </w:pPr>
    </w:lvl>
    <w:lvl w:ilvl="7" w:tplc="1408FC60">
      <w:start w:val="1"/>
      <w:numFmt w:val="bullet"/>
      <w:lvlText w:val="●"/>
      <w:lvlJc w:val="left"/>
      <w:pPr>
        <w:ind w:left="5760" w:hanging="360"/>
      </w:pPr>
    </w:lvl>
    <w:lvl w:ilvl="8" w:tplc="745425A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BD32E79"/>
    <w:multiLevelType w:val="hybridMultilevel"/>
    <w:tmpl w:val="10F85806"/>
    <w:lvl w:ilvl="0" w:tplc="6FEC378E">
      <w:start w:val="1"/>
      <w:numFmt w:val="bullet"/>
      <w:lvlText w:val="•"/>
      <w:lvlJc w:val="left"/>
      <w:pPr>
        <w:ind w:left="720" w:hanging="360"/>
      </w:pPr>
    </w:lvl>
    <w:lvl w:ilvl="1" w:tplc="A866CE92">
      <w:numFmt w:val="decimal"/>
      <w:lvlText w:val=""/>
      <w:lvlJc w:val="left"/>
    </w:lvl>
    <w:lvl w:ilvl="2" w:tplc="2E921576">
      <w:numFmt w:val="decimal"/>
      <w:lvlText w:val=""/>
      <w:lvlJc w:val="left"/>
    </w:lvl>
    <w:lvl w:ilvl="3" w:tplc="D49CF54C">
      <w:numFmt w:val="decimal"/>
      <w:lvlText w:val=""/>
      <w:lvlJc w:val="left"/>
    </w:lvl>
    <w:lvl w:ilvl="4" w:tplc="1DB61346">
      <w:numFmt w:val="decimal"/>
      <w:lvlText w:val=""/>
      <w:lvlJc w:val="left"/>
    </w:lvl>
    <w:lvl w:ilvl="5" w:tplc="C54C6AC8">
      <w:numFmt w:val="decimal"/>
      <w:lvlText w:val=""/>
      <w:lvlJc w:val="left"/>
    </w:lvl>
    <w:lvl w:ilvl="6" w:tplc="F97EE06A">
      <w:numFmt w:val="decimal"/>
      <w:lvlText w:val=""/>
      <w:lvlJc w:val="left"/>
    </w:lvl>
    <w:lvl w:ilvl="7" w:tplc="DF92653E">
      <w:numFmt w:val="decimal"/>
      <w:lvlText w:val=""/>
      <w:lvlJc w:val="left"/>
    </w:lvl>
    <w:lvl w:ilvl="8" w:tplc="93EC53BE">
      <w:numFmt w:val="decimal"/>
      <w:lvlText w:val=""/>
      <w:lvlJc w:val="left"/>
    </w:lvl>
  </w:abstractNum>
  <w:num w:numId="1" w16cid:durableId="479007343">
    <w:abstractNumId w:val="0"/>
    <w:lvlOverride w:ilvl="0">
      <w:startOverride w:val="1"/>
    </w:lvlOverride>
  </w:num>
  <w:num w:numId="2" w16cid:durableId="142025319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8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5C6D"/>
    <w:rsid w:val="00335C6D"/>
    <w:rsid w:val="00445BB7"/>
    <w:rsid w:val="007F26D7"/>
    <w:rsid w:val="00A604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3D3F40C"/>
  <w15:docId w15:val="{8A9C296A-FE98-AC4C-9C8A-6A3EC11E8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A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F3864"/>
      <w:sz w:val="36"/>
      <w:szCs w:val="36"/>
    </w:rPr>
  </w:style>
  <w:style w:type="paragraph" w:styleId="Heading2">
    <w:name w:val="heading 2"/>
    <w:uiPriority w:val="9"/>
    <w:unhideWhenUsed/>
    <w:qFormat/>
    <w:pPr>
      <w:spacing w:before="280" w:after="120"/>
      <w:outlineLvl w:val="1"/>
    </w:pPr>
    <w:rPr>
      <w:b/>
      <w:bCs/>
      <w:color w:val="2E6CA4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703</Words>
  <Characters>4012</Characters>
  <Application>Microsoft Office Word</Application>
  <DocSecurity>0</DocSecurity>
  <Lines>33</Lines>
  <Paragraphs>9</Paragraphs>
  <ScaleCrop>false</ScaleCrop>
  <Company/>
  <LinksUpToDate>false</LinksUpToDate>
  <CharactersWithSpaces>4706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Claudio Grasso</cp:lastModifiedBy>
  <cp:revision>2</cp:revision>
  <dcterms:created xsi:type="dcterms:W3CDTF">2026-06-23T14:44:00Z</dcterms:created>
  <dcterms:modified xsi:type="dcterms:W3CDTF">2026-07-12T19:30:00Z</dcterms:modified>
</cp:coreProperties>
</file>