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C2746B" w14:textId="77777777" w:rsidR="00F9449A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Acciones Locales</w:t>
      </w:r>
    </w:p>
    <w:p w14:paraId="2EF90417" w14:textId="77777777" w:rsidR="00F9449A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221EAA51" w14:textId="77777777" w:rsidR="00F9449A" w:rsidRDefault="00F9449A">
      <w:pPr>
        <w:pBdr>
          <w:bottom w:val="single" w:sz="6" w:space="1" w:color="2E6CA4"/>
        </w:pBdr>
        <w:spacing w:before="160" w:after="160"/>
      </w:pPr>
    </w:p>
    <w:p w14:paraId="0D78B59A" w14:textId="77777777" w:rsidR="00F9449A" w:rsidRDefault="00000000">
      <w:pPr>
        <w:pStyle w:val="Heading2"/>
      </w:pPr>
      <w:r>
        <w:t>¿Qué es?</w:t>
      </w:r>
    </w:p>
    <w:p w14:paraId="6ADB960E" w14:textId="77777777" w:rsidR="00F9449A" w:rsidRDefault="00000000">
      <w:pPr>
        <w:spacing w:before="60" w:after="60"/>
      </w:pPr>
      <w:r>
        <w:t>Las acciones locales son fracciones alícuotas del capital social de empresas argentinas que cotizan en el mercado bursátil operado por Bolsas y Mercados Argentinos (BYMA / BCBA). Al comprar una acción, el inversor adquiere la calidad de accionista y se convierte en socio proporcional de la empresa, asumiendo directamente el riesgo del negocio subyacente.</w:t>
      </w:r>
    </w:p>
    <w:p w14:paraId="0518915F" w14:textId="77777777" w:rsidR="00F9449A" w:rsidRDefault="00000000">
      <w:pPr>
        <w:spacing w:before="60" w:after="60"/>
      </w:pPr>
      <w:r>
        <w:t>Las cotizaciones se organizan en dos paneles principales:</w:t>
      </w:r>
    </w:p>
    <w:p w14:paraId="1A8DADC6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Panel Líder (S&amp;P Merval): empresas de mayor capitalización, volumen y liquidez. Incluye energía, bancos, materiales.</w:t>
      </w:r>
    </w:p>
    <w:p w14:paraId="48504A9D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Panel General: compañías de menor capitalización. Operatoria más esporádica, mayor volatilidad y menor liquidez.</w:t>
      </w:r>
    </w:p>
    <w:p w14:paraId="4B4B4007" w14:textId="77777777" w:rsidR="00F9449A" w:rsidRDefault="00F9449A">
      <w:pPr>
        <w:spacing w:before="80" w:after="80"/>
      </w:pPr>
    </w:p>
    <w:p w14:paraId="20E421F7" w14:textId="77777777" w:rsidR="00F9449A" w:rsidRDefault="00000000">
      <w:pPr>
        <w:pStyle w:val="Heading2"/>
      </w:pPr>
      <w:r>
        <w:t>¿Cómo funciona el flujo de dinero?</w:t>
      </w:r>
    </w:p>
    <w:p w14:paraId="6AF7B6E7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transferís pesos a tu cuenta comitente en una ALyC (broker) y emitís una orden de compra. BYMA empareja con una oferta de venta (match).</w:t>
      </w:r>
    </w:p>
    <w:p w14:paraId="3C30A245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 (1): </w:t>
      </w:r>
      <w:r>
        <w:t>Rendimiento posible (1): Apreciación de capital — sube el precio de la acción por expectativas de flujo de caja futuro, mejora macroeconómica o demanda del sector.</w:t>
      </w:r>
    </w:p>
    <w:p w14:paraId="30CE0F8D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 (2): </w:t>
      </w:r>
      <w:r>
        <w:t>Rendimiento posible (2): Dividendos — distribución periódica de utilidades líquidas aprobada por la Asamblea de Accionistas. No son obligatorios ni garantizados.</w:t>
      </w:r>
    </w:p>
    <w:p w14:paraId="6C376FEF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vendés la acción en el mercado secundario. Los fondos se acreditan en tu cuenta comitente en T+2 (48 hs hábiles).</w:t>
      </w:r>
    </w:p>
    <w:p w14:paraId="25CE0A41" w14:textId="77777777" w:rsidR="00F9449A" w:rsidRDefault="00F9449A">
      <w:pPr>
        <w:spacing w:before="80" w:after="80"/>
      </w:pPr>
    </w:p>
    <w:p w14:paraId="6C6C1EC7" w14:textId="77777777" w:rsidR="00F9449A" w:rsidRDefault="00000000">
      <w:pPr>
        <w:pStyle w:val="Heading2"/>
      </w:pPr>
      <w:r>
        <w:t>Moneda de exposición al riesgo</w:t>
      </w:r>
    </w:p>
    <w:p w14:paraId="0AE596DB" w14:textId="77777777" w:rsidR="00F9449A" w:rsidRDefault="00000000">
      <w:pPr>
        <w:spacing w:before="60" w:after="60"/>
      </w:pPr>
      <w:r>
        <w:t>La exposición estructural es en pesos argentinos: las acciones cotizan, se compran y liquidan en pesos. Sin embargo, existe una exposición económica indirecta e imperfecta:</w:t>
      </w:r>
    </w:p>
    <w:p w14:paraId="24D90BE1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Muchas empresas del Merval tienen ingresos en dólares (exportadoras de commodities, energía, etc.) o costos dolarizados, lo que introduce cobertura cambiaria de largo plazo.</w:t>
      </w:r>
    </w:p>
    <w:p w14:paraId="35A972AF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En el corto plazo, esta correlación puede desacoplarse violentamente por el riesgo sistémico del país.</w:t>
      </w:r>
    </w:p>
    <w:p w14:paraId="40A1630A" w14:textId="77777777" w:rsidR="00F9449A" w:rsidRDefault="00F9449A">
      <w:pPr>
        <w:spacing w:before="80" w:after="80"/>
      </w:pPr>
    </w:p>
    <w:p w14:paraId="0A614AB5" w14:textId="77777777" w:rsidR="00F9449A" w:rsidRDefault="00000000">
      <w:pPr>
        <w:pStyle w:val="Heading2"/>
      </w:pPr>
      <w:r>
        <w:t>Principales riesgos estructurales</w:t>
      </w:r>
    </w:p>
    <w:p w14:paraId="517BAD96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mercado: </w:t>
      </w:r>
      <w:r>
        <w:t>Riesgo de mercado/volatilidad: fluctuaciones severas por ciclos económicos. El Panel General exhibe volatilidad extrema por baja profundidad.</w:t>
      </w:r>
    </w:p>
    <w:p w14:paraId="10BF374D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regulatorio/político: empresas del Merval pertenecen a sectores regulados (energía, bancos, servicios públicos). Cambios en tarifas, precios o normativas impactan directamente en la rentabilidad.</w:t>
      </w:r>
    </w:p>
    <w:p w14:paraId="12B9365A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empresa: </w:t>
      </w:r>
      <w:r>
        <w:t>Riesgo de empresa: malos resultados, mala gestión, cambios en el modelo de negocios.</w:t>
      </w:r>
    </w:p>
    <w:p w14:paraId="6666E911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liquidez: </w:t>
      </w:r>
      <w:r>
        <w:t>Riesgo de liquidez: en el Panel General puede ser difícil encontrar contraparte sin sacrificar precio. Panel Líder tiene liquidez profunda.</w:t>
      </w:r>
    </w:p>
    <w:p w14:paraId="1508313B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cambiario: </w:t>
      </w:r>
      <w:r>
        <w:t>Riesgo cambiario: devaluaciones bruscas pueden afectar costos e ingresos de las empresas, aunque también puede ser una cobertura en el largo plazo.</w:t>
      </w:r>
    </w:p>
    <w:p w14:paraId="7655682A" w14:textId="77777777" w:rsidR="00F9449A" w:rsidRDefault="00F9449A">
      <w:pPr>
        <w:spacing w:before="80" w:after="80"/>
      </w:pPr>
    </w:p>
    <w:p w14:paraId="458A1B41" w14:textId="77777777" w:rsidR="00F9449A" w:rsidRDefault="00000000">
      <w:pPr>
        <w:pStyle w:val="Heading2"/>
      </w:pPr>
      <w:r>
        <w:t>Horizonte recomendado</w:t>
      </w:r>
    </w:p>
    <w:p w14:paraId="5E445A2A" w14:textId="77777777" w:rsidR="00F9449A" w:rsidRDefault="00000000">
      <w:pPr>
        <w:spacing w:before="60" w:after="60"/>
      </w:pPr>
      <w:r>
        <w:t>Conceptualmente son instrumentos de mediano y largo plazo (más de 2-3 años). En ventanas cortas (0-12 meses), la alta volatilidad puede generar pérdidas nominales abruptas, incompatibles con estrategias de preservación de caja o liquidez transitoria.</w:t>
      </w:r>
    </w:p>
    <w:p w14:paraId="7F43D705" w14:textId="77777777" w:rsidR="00F9449A" w:rsidRDefault="00000000">
      <w:pPr>
        <w:spacing w:before="60" w:after="60"/>
      </w:pPr>
      <w:r>
        <w:t>En la práctica muchos inversores las usan para trading de corto plazo, pero eso amplifica el peso de la volatilidad y el ruido de mercado.</w:t>
      </w:r>
    </w:p>
    <w:p w14:paraId="689CCBE2" w14:textId="77777777" w:rsidR="00F9449A" w:rsidRDefault="00F9449A">
      <w:pPr>
        <w:spacing w:before="80" w:after="80"/>
      </w:pPr>
    </w:p>
    <w:p w14:paraId="62467AAF" w14:textId="77777777" w:rsidR="00F9449A" w:rsidRDefault="00000000">
      <w:pPr>
        <w:pStyle w:val="Heading2"/>
      </w:pPr>
      <w:r>
        <w:t>Ticket mínimo y accesibilidad</w:t>
      </w:r>
    </w:p>
    <w:p w14:paraId="44DD86C2" w14:textId="77777777" w:rsidR="00F9449A" w:rsidRDefault="00000000">
      <w:pPr>
        <w:spacing w:before="60" w:after="60"/>
      </w:pPr>
      <w:r>
        <w:t>Son instrumentos altamente democráticos. El monto mínimo es 1 acción, que históricamente representa fracciones de capital que exigen apenas unos pocos miles de pesos.</w:t>
      </w:r>
    </w:p>
    <w:p w14:paraId="01878BA2" w14:textId="77777777" w:rsidR="00F9449A" w:rsidRDefault="00000000">
      <w:pPr>
        <w:spacing w:before="60" w:after="60"/>
      </w:pPr>
      <w:r>
        <w:t>Para tickets de USD 1.000-2.000 equivalentes, las acciones locales son operables. Conviene evitar concentrarse en una o dos especies de baja liquidez del Panel General.</w:t>
      </w:r>
    </w:p>
    <w:p w14:paraId="48048072" w14:textId="77777777" w:rsidR="00F9449A" w:rsidRDefault="00F9449A">
      <w:pPr>
        <w:spacing w:before="80" w:after="80"/>
      </w:pPr>
    </w:p>
    <w:p w14:paraId="6FC070E6" w14:textId="77777777" w:rsidR="00F9449A" w:rsidRDefault="00000000">
      <w:pPr>
        <w:pStyle w:val="Heading2"/>
      </w:pPr>
      <w:r>
        <w:t>¿Cuándo tiene sentido usarlas?</w:t>
      </w:r>
    </w:p>
    <w:p w14:paraId="44B82AE7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Cuando el objetivo es apreciación de capital agresiva a largo plazo, asumiendo riesgo elevado.</w:t>
      </w:r>
    </w:p>
    <w:p w14:paraId="6852C9CA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Para ganar exposición a sectores específicos de la economía local (energía, agro, bancos, telecomunicaciones).</w:t>
      </w:r>
    </w:p>
    <w:p w14:paraId="4B143D79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t>Para cobrar dividendos en empresas con política estable de distribución.</w:t>
      </w:r>
    </w:p>
    <w:p w14:paraId="628724CB" w14:textId="77777777" w:rsidR="00F9449A" w:rsidRDefault="00000000">
      <w:pPr>
        <w:spacing w:before="60" w:after="60"/>
      </w:pPr>
      <w:r>
        <w:t>No es idóneo para resguardar el poder adquisitivo de saldos transitorios ni para perfiles que no toleran variaciones negativas diarias en su cartera.</w:t>
      </w:r>
    </w:p>
    <w:p w14:paraId="759B77C7" w14:textId="77777777" w:rsidR="00F9449A" w:rsidRDefault="00F9449A">
      <w:pPr>
        <w:spacing w:before="80" w:after="80"/>
      </w:pPr>
    </w:p>
    <w:p w14:paraId="684F0D0B" w14:textId="77777777" w:rsidR="00F9449A" w:rsidRDefault="00000000">
      <w:pPr>
        <w:pStyle w:val="Heading2"/>
      </w:pPr>
      <w:r>
        <w:t>Dónde ver información actualizada</w:t>
      </w:r>
    </w:p>
    <w:p w14:paraId="3BB453A9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 (open.bymadata.com.ar / bymadata.com.ar): cotizaciones en tiempo real, volúmenes, variaciones, composición del S&amp;P Merval y BYMA General.</w:t>
      </w:r>
    </w:p>
    <w:p w14:paraId="0FFA4D1E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CNV: </w:t>
      </w:r>
      <w:r>
        <w:t>CNV (cnv.gov.ar): prospectos de emisión, balances trimestrales, hechos relevantes que las empresas deben informar.</w:t>
      </w:r>
    </w:p>
    <w:p w14:paraId="106D3FC2" w14:textId="77777777" w:rsidR="00F944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Brokers: </w:t>
      </w:r>
      <w:r>
        <w:t>Paneles de brokers (Allaria, PPI, Puente, IOL, Bull Market, Cocos, Balanz): precios, gráficos históricos, análisis fundamental básico por especie.</w:t>
      </w:r>
    </w:p>
    <w:p w14:paraId="4A33B05F" w14:textId="77777777" w:rsidR="00F9449A" w:rsidRDefault="00F9449A">
      <w:pPr>
        <w:spacing w:before="80" w:after="80"/>
      </w:pPr>
    </w:p>
    <w:p w14:paraId="3C01FD83" w14:textId="77777777" w:rsidR="00F9449A" w:rsidRDefault="00F9449A">
      <w:pPr>
        <w:pBdr>
          <w:bottom w:val="single" w:sz="6" w:space="1" w:color="2E6CA4"/>
        </w:pBdr>
        <w:spacing w:before="160" w:after="160"/>
      </w:pPr>
    </w:p>
    <w:p w14:paraId="33674BA1" w14:textId="77777777" w:rsidR="00F9449A" w:rsidRDefault="00000000">
      <w:pPr>
        <w:pStyle w:val="Heading2"/>
      </w:pPr>
      <w:r>
        <w:t>📊 Tabla resumen de atributos</w:t>
      </w:r>
    </w:p>
    <w:p w14:paraId="1CCD2C71" w14:textId="77777777" w:rsidR="00F9449A" w:rsidRDefault="00F9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9449A" w14:paraId="33EF17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B36F" w14:textId="77777777" w:rsidR="00F9449A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6EA2" w14:textId="77777777" w:rsidR="00F9449A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F9449A" w14:paraId="4124C6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34CE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C3DC" w14:textId="77777777" w:rsidR="00F9449A" w:rsidRDefault="00000000">
            <w:r>
              <w:rPr>
                <w:color w:val="333333"/>
                <w:sz w:val="20"/>
                <w:szCs w:val="20"/>
              </w:rPr>
              <w:t>Renta Variable (participación societaria)</w:t>
            </w:r>
          </w:p>
        </w:tc>
      </w:tr>
      <w:tr w:rsidR="00F9449A" w14:paraId="2A4BD0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9E86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Moneda de cotización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4D06" w14:textId="77777777" w:rsidR="00F9449A" w:rsidRDefault="00000000">
            <w:r>
              <w:rPr>
                <w:color w:val="333333"/>
                <w:sz w:val="20"/>
                <w:szCs w:val="20"/>
              </w:rPr>
              <w:t>Pesos argentinos</w:t>
            </w:r>
          </w:p>
        </w:tc>
      </w:tr>
      <w:tr w:rsidR="00F9449A" w14:paraId="296AB1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BD3C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Exposición económica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75ED" w14:textId="77777777" w:rsidR="00F9449A" w:rsidRDefault="00000000">
            <w:r>
              <w:rPr>
                <w:color w:val="333333"/>
                <w:sz w:val="20"/>
                <w:szCs w:val="20"/>
              </w:rPr>
              <w:t>Indirecta al dólar y a la economía real</w:t>
            </w:r>
          </w:p>
        </w:tc>
      </w:tr>
      <w:tr w:rsidR="00F9449A" w14:paraId="502882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BD7D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582C" w14:textId="77777777" w:rsidR="00F9449A" w:rsidRDefault="00000000">
            <w:r>
              <w:rPr>
                <w:color w:val="333333"/>
                <w:sz w:val="20"/>
                <w:szCs w:val="20"/>
              </w:rPr>
              <w:t>A veces (dividendos, no garantizados)</w:t>
            </w:r>
          </w:p>
        </w:tc>
      </w:tr>
      <w:tr w:rsidR="00F9449A" w14:paraId="49BB46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AB2A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42E7" w14:textId="77777777" w:rsidR="00F9449A" w:rsidRDefault="00000000">
            <w:r>
              <w:rPr>
                <w:color w:val="333333"/>
                <w:sz w:val="20"/>
                <w:szCs w:val="20"/>
              </w:rPr>
              <w:t>Indirecta (largo plazo)</w:t>
            </w:r>
          </w:p>
        </w:tc>
      </w:tr>
      <w:tr w:rsidR="00F9449A" w14:paraId="30CC80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DB41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14D7" w14:textId="77777777" w:rsidR="00F9449A" w:rsidRDefault="00000000">
            <w:r>
              <w:rPr>
                <w:color w:val="333333"/>
                <w:sz w:val="20"/>
                <w:szCs w:val="20"/>
              </w:rPr>
              <w:t>No directa</w:t>
            </w:r>
          </w:p>
        </w:tc>
      </w:tr>
      <w:tr w:rsidR="00F9449A" w14:paraId="4E2D15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2DB9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DC16" w14:textId="77777777" w:rsidR="00F9449A" w:rsidRDefault="00000000">
            <w:r>
              <w:rPr>
                <w:color w:val="333333"/>
                <w:sz w:val="20"/>
                <w:szCs w:val="20"/>
              </w:rPr>
              <w:t>Mediano/largo plazo (&gt; 2-3 años)</w:t>
            </w:r>
          </w:p>
        </w:tc>
      </w:tr>
      <w:tr w:rsidR="00F9449A" w14:paraId="6673A6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A396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7CA4" w14:textId="77777777" w:rsidR="00F9449A" w:rsidRDefault="00000000">
            <w:r>
              <w:rPr>
                <w:color w:val="333333"/>
                <w:sz w:val="20"/>
                <w:szCs w:val="20"/>
              </w:rPr>
              <w:t>Desde 1 acción (muy bajo)</w:t>
            </w:r>
          </w:p>
        </w:tc>
      </w:tr>
      <w:tr w:rsidR="00F9449A" w14:paraId="766D5D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A10A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F485" w14:textId="77777777" w:rsidR="00F9449A" w:rsidRDefault="00000000">
            <w:r>
              <w:rPr>
                <w:color w:val="333333"/>
                <w:sz w:val="20"/>
                <w:szCs w:val="20"/>
              </w:rPr>
              <w:t>BYMA / BCBA – Panel Líder y Panel General</w:t>
            </w:r>
          </w:p>
        </w:tc>
      </w:tr>
      <w:tr w:rsidR="00F9449A" w14:paraId="2E8B71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2508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9545" w14:textId="77777777" w:rsidR="00F9449A" w:rsidRDefault="00000000">
            <w:r>
              <w:rPr>
                <w:color w:val="333333"/>
                <w:sz w:val="20"/>
                <w:szCs w:val="20"/>
              </w:rPr>
              <w:t>CNV</w:t>
            </w:r>
          </w:p>
        </w:tc>
      </w:tr>
      <w:tr w:rsidR="00F9449A" w14:paraId="659AFA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2C82" w14:textId="77777777" w:rsidR="00F9449A" w:rsidRDefault="00000000">
            <w:r>
              <w:rPr>
                <w:b/>
                <w:bCs/>
                <w:color w:val="1F3864"/>
                <w:sz w:val="20"/>
                <w:szCs w:val="20"/>
              </w:rPr>
              <w:t>Plazo de liquidación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4800" w14:textId="77777777" w:rsidR="00F9449A" w:rsidRDefault="00000000">
            <w:r>
              <w:rPr>
                <w:color w:val="333333"/>
                <w:sz w:val="20"/>
                <w:szCs w:val="20"/>
              </w:rPr>
              <w:t>T+2 (48 hs hábiles)</w:t>
            </w:r>
          </w:p>
        </w:tc>
      </w:tr>
    </w:tbl>
    <w:p w14:paraId="0588B375" w14:textId="77777777" w:rsidR="00F9449A" w:rsidRDefault="00F9449A">
      <w:pPr>
        <w:spacing w:before="80" w:after="80"/>
      </w:pPr>
    </w:p>
    <w:p w14:paraId="68593065" w14:textId="77777777" w:rsidR="00F9449A" w:rsidRDefault="00F9449A">
      <w:pPr>
        <w:pBdr>
          <w:bottom w:val="single" w:sz="6" w:space="1" w:color="2E6CA4"/>
        </w:pBdr>
        <w:spacing w:before="160" w:after="160"/>
      </w:pPr>
    </w:p>
    <w:sectPr w:rsidR="00F9449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ED4691" w14:textId="77777777" w:rsidR="008B0BDC" w:rsidRDefault="008B0BDC">
      <w:r>
        <w:separator/>
      </w:r>
    </w:p>
  </w:endnote>
  <w:endnote w:type="continuationSeparator" w:id="0">
    <w:p w14:paraId="3271A156" w14:textId="77777777" w:rsidR="008B0BDC" w:rsidRDefault="008B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397A7D" w14:textId="77777777" w:rsidR="00F9449A" w:rsidRDefault="00000000">
    <w:pPr>
      <w:jc w:val="right"/>
    </w:pPr>
    <w:r>
      <w:rPr>
        <w:color w:val="888888"/>
        <w:sz w:val="18"/>
        <w:szCs w:val="18"/>
      </w:rPr>
      <w:t xml:space="preserve">Wiki de Inversiones · Acciones Locales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E639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F6B285" w14:textId="77777777" w:rsidR="008B0BDC" w:rsidRDefault="008B0BDC">
      <w:r>
        <w:separator/>
      </w:r>
    </w:p>
  </w:footnote>
  <w:footnote w:type="continuationSeparator" w:id="0">
    <w:p w14:paraId="21E7044B" w14:textId="77777777" w:rsidR="008B0BDC" w:rsidRDefault="008B0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E18F5"/>
    <w:multiLevelType w:val="hybridMultilevel"/>
    <w:tmpl w:val="50CE81C4"/>
    <w:lvl w:ilvl="0" w:tplc="D84A3682">
      <w:start w:val="1"/>
      <w:numFmt w:val="bullet"/>
      <w:lvlText w:val="•"/>
      <w:lvlJc w:val="left"/>
      <w:pPr>
        <w:ind w:left="720" w:hanging="360"/>
      </w:pPr>
    </w:lvl>
    <w:lvl w:ilvl="1" w:tplc="60E239A0">
      <w:numFmt w:val="decimal"/>
      <w:lvlText w:val=""/>
      <w:lvlJc w:val="left"/>
    </w:lvl>
    <w:lvl w:ilvl="2" w:tplc="3126E1D2">
      <w:numFmt w:val="decimal"/>
      <w:lvlText w:val=""/>
      <w:lvlJc w:val="left"/>
    </w:lvl>
    <w:lvl w:ilvl="3" w:tplc="D5408374">
      <w:numFmt w:val="decimal"/>
      <w:lvlText w:val=""/>
      <w:lvlJc w:val="left"/>
    </w:lvl>
    <w:lvl w:ilvl="4" w:tplc="8C3A368E">
      <w:numFmt w:val="decimal"/>
      <w:lvlText w:val=""/>
      <w:lvlJc w:val="left"/>
    </w:lvl>
    <w:lvl w:ilvl="5" w:tplc="6FC40E68">
      <w:numFmt w:val="decimal"/>
      <w:lvlText w:val=""/>
      <w:lvlJc w:val="left"/>
    </w:lvl>
    <w:lvl w:ilvl="6" w:tplc="F2B0E432">
      <w:numFmt w:val="decimal"/>
      <w:lvlText w:val=""/>
      <w:lvlJc w:val="left"/>
    </w:lvl>
    <w:lvl w:ilvl="7" w:tplc="DE18BB94">
      <w:numFmt w:val="decimal"/>
      <w:lvlText w:val=""/>
      <w:lvlJc w:val="left"/>
    </w:lvl>
    <w:lvl w:ilvl="8" w:tplc="B1BE79E0">
      <w:numFmt w:val="decimal"/>
      <w:lvlText w:val=""/>
      <w:lvlJc w:val="left"/>
    </w:lvl>
  </w:abstractNum>
  <w:abstractNum w:abstractNumId="1" w15:restartNumberingAfterBreak="0">
    <w:nsid w:val="7B6361B9"/>
    <w:multiLevelType w:val="hybridMultilevel"/>
    <w:tmpl w:val="70FAB3AC"/>
    <w:lvl w:ilvl="0" w:tplc="62BE6772">
      <w:start w:val="1"/>
      <w:numFmt w:val="bullet"/>
      <w:lvlText w:val="●"/>
      <w:lvlJc w:val="left"/>
      <w:pPr>
        <w:ind w:left="720" w:hanging="360"/>
      </w:pPr>
    </w:lvl>
    <w:lvl w:ilvl="1" w:tplc="F47AA924">
      <w:start w:val="1"/>
      <w:numFmt w:val="bullet"/>
      <w:lvlText w:val="○"/>
      <w:lvlJc w:val="left"/>
      <w:pPr>
        <w:ind w:left="1440" w:hanging="360"/>
      </w:pPr>
    </w:lvl>
    <w:lvl w:ilvl="2" w:tplc="4A169E8C">
      <w:start w:val="1"/>
      <w:numFmt w:val="bullet"/>
      <w:lvlText w:val="■"/>
      <w:lvlJc w:val="left"/>
      <w:pPr>
        <w:ind w:left="2160" w:hanging="360"/>
      </w:pPr>
    </w:lvl>
    <w:lvl w:ilvl="3" w:tplc="00FE8FAE">
      <w:start w:val="1"/>
      <w:numFmt w:val="bullet"/>
      <w:lvlText w:val="●"/>
      <w:lvlJc w:val="left"/>
      <w:pPr>
        <w:ind w:left="2880" w:hanging="360"/>
      </w:pPr>
    </w:lvl>
    <w:lvl w:ilvl="4" w:tplc="AFCA780C">
      <w:start w:val="1"/>
      <w:numFmt w:val="bullet"/>
      <w:lvlText w:val="○"/>
      <w:lvlJc w:val="left"/>
      <w:pPr>
        <w:ind w:left="3600" w:hanging="360"/>
      </w:pPr>
    </w:lvl>
    <w:lvl w:ilvl="5" w:tplc="DB5E4EA0">
      <w:start w:val="1"/>
      <w:numFmt w:val="bullet"/>
      <w:lvlText w:val="■"/>
      <w:lvlJc w:val="left"/>
      <w:pPr>
        <w:ind w:left="4320" w:hanging="360"/>
      </w:pPr>
    </w:lvl>
    <w:lvl w:ilvl="6" w:tplc="D890900E">
      <w:start w:val="1"/>
      <w:numFmt w:val="bullet"/>
      <w:lvlText w:val="●"/>
      <w:lvlJc w:val="left"/>
      <w:pPr>
        <w:ind w:left="5040" w:hanging="360"/>
      </w:pPr>
    </w:lvl>
    <w:lvl w:ilvl="7" w:tplc="E084B0A8">
      <w:start w:val="1"/>
      <w:numFmt w:val="bullet"/>
      <w:lvlText w:val="●"/>
      <w:lvlJc w:val="left"/>
      <w:pPr>
        <w:ind w:left="5760" w:hanging="360"/>
      </w:pPr>
    </w:lvl>
    <w:lvl w:ilvl="8" w:tplc="9E722BE2">
      <w:start w:val="1"/>
      <w:numFmt w:val="bullet"/>
      <w:lvlText w:val="●"/>
      <w:lvlJc w:val="left"/>
      <w:pPr>
        <w:ind w:left="6480" w:hanging="360"/>
      </w:pPr>
    </w:lvl>
  </w:abstractNum>
  <w:num w:numId="1" w16cid:durableId="1714571063">
    <w:abstractNumId w:val="1"/>
    <w:lvlOverride w:ilvl="0">
      <w:startOverride w:val="1"/>
    </w:lvlOverride>
  </w:num>
  <w:num w:numId="2" w16cid:durableId="848830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49A"/>
    <w:rsid w:val="007E639A"/>
    <w:rsid w:val="007F26D7"/>
    <w:rsid w:val="008B0BDC"/>
    <w:rsid w:val="00F9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8D602E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4240</Characters>
  <Application>Microsoft Office Word</Application>
  <DocSecurity>0</DocSecurity>
  <Lines>111</Lines>
  <Paragraphs>71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2026-07-12T19:34:00Z</dcterms:modified>
</cp:coreProperties>
</file>