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6DB94A" w14:textId="77777777" w:rsidR="00C72A37" w:rsidRDefault="00000000">
      <w:pPr>
        <w:spacing w:before="400" w:after="120"/>
        <w:jc w:val="center"/>
      </w:pPr>
      <w:r>
        <w:rPr>
          <w:b/>
          <w:bCs/>
          <w:color w:val="1F3864"/>
          <w:sz w:val="52"/>
          <w:szCs w:val="52"/>
        </w:rPr>
        <w:t>Bonos Dólar Linked y Duales</w:t>
      </w:r>
    </w:p>
    <w:p w14:paraId="036A2534" w14:textId="77777777" w:rsidR="00C72A37" w:rsidRDefault="00000000">
      <w:pPr>
        <w:spacing w:after="480"/>
        <w:jc w:val="center"/>
      </w:pPr>
      <w:r>
        <w:rPr>
          <w:i/>
          <w:iCs/>
          <w:color w:val="555555"/>
          <w:sz w:val="24"/>
          <w:szCs w:val="24"/>
        </w:rPr>
        <w:t>Wiki de Inversiones · Mercado Argentino</w:t>
      </w:r>
    </w:p>
    <w:p w14:paraId="1A21DCC9" w14:textId="77777777" w:rsidR="00C72A37" w:rsidRDefault="00C72A37">
      <w:pPr>
        <w:pBdr>
          <w:bottom w:val="single" w:sz="6" w:space="1" w:color="2E6CA4"/>
        </w:pBdr>
        <w:spacing w:before="160" w:after="160"/>
      </w:pPr>
    </w:p>
    <w:p w14:paraId="201FDAE5" w14:textId="77777777" w:rsidR="00C72A37" w:rsidRDefault="00000000">
      <w:pPr>
        <w:pStyle w:val="Heading2"/>
      </w:pPr>
      <w:r>
        <w:t>¿Qué es?</w:t>
      </w:r>
    </w:p>
    <w:p w14:paraId="011D4ECC" w14:textId="77777777" w:rsidR="00C72A37" w:rsidRDefault="00000000">
      <w:pPr>
        <w:spacing w:before="60" w:after="60"/>
      </w:pPr>
      <w:r>
        <w:t>Los bonos Dólar Linked son títulos emitidos, negociados y cancelados exclusivamente en pesos argentinos, cuya particularidad es que el valor patrimonial y los pagos están contractualmente "linkeados" a la cotización del tipo de cambio oficial mayorista (Comunicación A3500 del BCRA). No pagan dólares billete; pagan pesos equivalentes al dólar oficial.</w:t>
      </w:r>
    </w:p>
    <w:p w14:paraId="5C64A626" w14:textId="77777777" w:rsidR="00C72A37" w:rsidRDefault="00000000">
      <w:pPr>
        <w:spacing w:before="60" w:after="60"/>
      </w:pPr>
      <w:r>
        <w:t>Los Bonos Duales son la máxima expresión defensiva: al vencimiento pagan el importe en pesos que resulte mayor entre el ajuste por CER (inflación) y el ajuste por Dólar Linked (devaluación oficial). Es un seguro bifronte contra los dos principales flagelos de la economía argentina.</w:t>
      </w:r>
    </w:p>
    <w:p w14:paraId="1C46E8EF" w14:textId="77777777" w:rsidR="00C72A37" w:rsidRDefault="00000000">
      <w:pPr>
        <w:spacing w:before="60" w:after="60"/>
      </w:pPr>
      <w:r>
        <w:t>Mecánica Dólar Linked: el capital se divide por el TC oficial al inicio (asignando "dólares nocionales"). Al pago, esos dólares nocionales se multiplican por el nuevo TC oficial, definiendo el importe en pesos a acreditar.</w:t>
      </w:r>
    </w:p>
    <w:p w14:paraId="6762D1B1" w14:textId="77777777" w:rsidR="00C72A37" w:rsidRDefault="00C72A37">
      <w:pPr>
        <w:spacing w:before="80" w:after="80"/>
      </w:pPr>
    </w:p>
    <w:p w14:paraId="55136E55" w14:textId="77777777" w:rsidR="00C72A37" w:rsidRDefault="00000000">
      <w:pPr>
        <w:pStyle w:val="Heading2"/>
      </w:pPr>
      <w:r>
        <w:t>¿Cómo funciona el flujo de dinero?</w:t>
      </w:r>
    </w:p>
    <w:p w14:paraId="657C9675" w14:textId="77777777" w:rsidR="00C72A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Entrada: </w:t>
      </w:r>
      <w:r>
        <w:t>Entrada: comprás en pesos en el mercado secundario o en licitaciones primarias.</w:t>
      </w:r>
    </w:p>
    <w:p w14:paraId="77A4EFB3" w14:textId="77777777" w:rsidR="00C72A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Rendimiento: </w:t>
      </w:r>
      <w:r>
        <w:t>Rendimiento: cupones de interés calculados sobre el capital ajustado al TC oficial + amortización que refleja la devaluación acumulada. Si la tasa implícita de devaluación esperada sube, el precio del bono sube.</w:t>
      </w:r>
    </w:p>
    <w:p w14:paraId="0D8CA722" w14:textId="77777777" w:rsidR="00C72A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Salida: </w:t>
      </w:r>
      <w:r>
        <w:t>Salida: cobro de cupones/amortizaciones o venta anticipada en el secundario.</w:t>
      </w:r>
    </w:p>
    <w:p w14:paraId="67F475A0" w14:textId="77777777" w:rsidR="00C72A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Duales – pago: </w:t>
      </w:r>
      <w:r>
        <w:t>Duales: al vencimiento el sistema calcula ambos ajustes (CER y Dólar Linked) y paga el mayor. No hay que apostar a cuál variable gana.</w:t>
      </w:r>
    </w:p>
    <w:p w14:paraId="285176C2" w14:textId="77777777" w:rsidR="00C72A37" w:rsidRDefault="00C72A37">
      <w:pPr>
        <w:spacing w:before="80" w:after="80"/>
      </w:pPr>
    </w:p>
    <w:p w14:paraId="5845BF13" w14:textId="77777777" w:rsidR="00C72A37" w:rsidRDefault="00000000">
      <w:pPr>
        <w:pStyle w:val="Heading2"/>
      </w:pPr>
      <w:r>
        <w:t>Moneda de exposición al riesgo</w:t>
      </w:r>
    </w:p>
    <w:p w14:paraId="06C02A80" w14:textId="77777777" w:rsidR="00C72A37" w:rsidRDefault="00000000">
      <w:pPr>
        <w:spacing w:before="60" w:after="60"/>
      </w:pPr>
      <w:r>
        <w:t>Exposición al dólar oficial (mayorista) — NO al dólar CCL o MEP. Es una exposición a la política cambiaria del BCRA, no al mercado libre.</w:t>
      </w:r>
    </w:p>
    <w:p w14:paraId="152B27E0" w14:textId="77777777" w:rsidR="00C72A37" w:rsidRDefault="00000000">
      <w:pPr>
        <w:spacing w:before="60" w:after="60"/>
      </w:pPr>
      <w:r>
        <w:t>Importante: no es lo mismo que tener dólares billete ni que invertir en CEDEARs o bonos Hard Dollar.</w:t>
      </w:r>
    </w:p>
    <w:p w14:paraId="33A578C5" w14:textId="77777777" w:rsidR="00C72A37" w:rsidRDefault="00C72A37">
      <w:pPr>
        <w:spacing w:before="80" w:after="80"/>
      </w:pPr>
    </w:p>
    <w:p w14:paraId="6E16E07A" w14:textId="77777777" w:rsidR="00C72A37" w:rsidRDefault="00000000">
      <w:pPr>
        <w:pStyle w:val="Heading2"/>
      </w:pPr>
      <w:r>
        <w:t>Principales riesgos estructurales</w:t>
      </w:r>
    </w:p>
    <w:p w14:paraId="7EAE8A06" w14:textId="77777777" w:rsidR="00C72A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de atraso: </w:t>
      </w:r>
      <w:r>
        <w:t>Riesgo de atraso cambiario ("brecha cambiaria"): si el BCRA ancla, ralentiza o retrasa el dólar oficial como política antiinflacionaria, el bono rinde poco y el capital se erosiona frente a inflación y dólares libres.</w:t>
      </w:r>
    </w:p>
    <w:p w14:paraId="08F202FE" w14:textId="77777777" w:rsidR="00C72A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Riesgo de crédito: </w:t>
      </w:r>
      <w:r>
        <w:t>Riesgo de crédito: reperfilamiento de la curva de pesos del Tesoro.</w:t>
      </w:r>
    </w:p>
    <w:p w14:paraId="476972A9" w14:textId="77777777" w:rsidR="00C72A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regulatorio: </w:t>
      </w:r>
      <w:r>
        <w:t>Riesgo regulatorio: el BCRA puede modificar cómo construye la Comunicación A3500 en casos extremos.</w:t>
      </w:r>
    </w:p>
    <w:p w14:paraId="33609390" w14:textId="77777777" w:rsidR="00C72A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Duales: </w:t>
      </w:r>
      <w:r>
        <w:t>Para Duales: el riesgo es de crédito del Estado; los duales protegen del timing entre inflación y devaluación, no del default.</w:t>
      </w:r>
    </w:p>
    <w:p w14:paraId="1B09D0CF" w14:textId="77777777" w:rsidR="00C72A37" w:rsidRDefault="00C72A37">
      <w:pPr>
        <w:spacing w:before="80" w:after="80"/>
      </w:pPr>
    </w:p>
    <w:p w14:paraId="629C5257" w14:textId="77777777" w:rsidR="00C72A37" w:rsidRDefault="00000000">
      <w:pPr>
        <w:pStyle w:val="Heading2"/>
      </w:pPr>
      <w:r>
        <w:t>Horizonte recomendado</w:t>
      </w:r>
    </w:p>
    <w:p w14:paraId="220FB5D7" w14:textId="77777777" w:rsidR="00C72A37" w:rsidRDefault="00000000">
      <w:pPr>
        <w:spacing w:before="60" w:after="60"/>
      </w:pPr>
      <w:r>
        <w:t>Corto y mediano plazo (6-24 meses), típicamente calibrado para coincidir con eventos binarios: procesos electorales, programas de estabilización, cambios de régimen cambiario.</w:t>
      </w:r>
    </w:p>
    <w:p w14:paraId="4FBFB19A" w14:textId="77777777" w:rsidR="00C72A37" w:rsidRDefault="00C72A37">
      <w:pPr>
        <w:spacing w:before="80" w:after="80"/>
      </w:pPr>
    </w:p>
    <w:p w14:paraId="080D3924" w14:textId="77777777" w:rsidR="00C72A37" w:rsidRDefault="00000000">
      <w:pPr>
        <w:pStyle w:val="Heading2"/>
      </w:pPr>
      <w:r>
        <w:t>Ticket mínimo y accesibilidad</w:t>
      </w:r>
    </w:p>
    <w:p w14:paraId="7E55C588" w14:textId="77777777" w:rsidR="00C72A37" w:rsidRDefault="00000000">
      <w:pPr>
        <w:spacing w:before="60" w:after="60"/>
      </w:pPr>
      <w:r>
        <w:t>Amplia. Nominales mínimos idénticos al resto de la curva soberana. Accesibles desde muy pocos pesos en el mercado secundario o desde $10.000 en licitaciones primarias.</w:t>
      </w:r>
    </w:p>
    <w:p w14:paraId="3B880019" w14:textId="77777777" w:rsidR="00C72A37" w:rsidRDefault="00C72A37">
      <w:pPr>
        <w:spacing w:before="80" w:after="80"/>
      </w:pPr>
    </w:p>
    <w:p w14:paraId="6B788523" w14:textId="77777777" w:rsidR="00C72A37" w:rsidRDefault="00000000">
      <w:pPr>
        <w:pStyle w:val="Heading2"/>
      </w:pPr>
      <w:r>
        <w:t>¿Cuándo tiene sentido usarlos?</w:t>
      </w:r>
    </w:p>
    <w:p w14:paraId="0998898D" w14:textId="77777777" w:rsidR="00C72A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Dólar Linked: </w:t>
      </w:r>
      <w:r>
        <w:t>Dólar Linked: cuando se espera un salto devaluatorio del oficial pero no se puede o quiere acceder directamente al dólar. Útil también para empresas importadoras con pasivos en TC oficial.</w:t>
      </w:r>
    </w:p>
    <w:p w14:paraId="3BE1A709" w14:textId="77777777" w:rsidR="00C72A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Duales: </w:t>
      </w:r>
      <w:r>
        <w:t>Duales: cuando hay incertidumbre entre inflación y devaluación y se quiere un "seguro" que cubra cualquiera de los dos escenarios. Ideal para perfiles que quieren protección sin tener que apostar a un único variable.</w:t>
      </w:r>
    </w:p>
    <w:p w14:paraId="5AD1E2AE" w14:textId="77777777" w:rsidR="00C72A37" w:rsidRDefault="00C72A37">
      <w:pPr>
        <w:spacing w:before="80" w:after="80"/>
      </w:pPr>
    </w:p>
    <w:p w14:paraId="40F201F5" w14:textId="77777777" w:rsidR="00C72A37" w:rsidRDefault="00000000">
      <w:pPr>
        <w:pStyle w:val="Heading2"/>
      </w:pPr>
      <w:r>
        <w:t>Dónde ver información actualizada</w:t>
      </w:r>
    </w:p>
    <w:p w14:paraId="1F41D831" w14:textId="77777777" w:rsidR="00C72A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BCRA – A3500: </w:t>
      </w:r>
      <w:r>
        <w:t>BCRA (bcra.gob.ar/estadisticas-indicadores/): valor diario de la Comunicación A3500 y su histórico.</w:t>
      </w:r>
    </w:p>
    <w:p w14:paraId="3C0F8E84" w14:textId="77777777" w:rsidR="00C72A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BYMA Data: </w:t>
      </w:r>
      <w:r>
        <w:t>BYMA Data: cotizaciones de bonos Dólar Linked y Duales, filtros específicos en renta fija.</w:t>
      </w:r>
    </w:p>
    <w:p w14:paraId="3BDB3911" w14:textId="77777777" w:rsidR="00C72A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MAE: </w:t>
      </w:r>
      <w:r>
        <w:t>MAE: referencias institucionales de precios.</w:t>
      </w:r>
    </w:p>
    <w:p w14:paraId="64291638" w14:textId="77777777" w:rsidR="00C72A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Min. Economía: </w:t>
      </w:r>
      <w:r>
        <w:t>Ministerio de Economía (argentina.gob.ar/economia/licitaciones): cronograma de licitaciones primarias y condiciones de nuevas series.</w:t>
      </w:r>
    </w:p>
    <w:p w14:paraId="17464268" w14:textId="77777777" w:rsidR="00C72A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Brokers: </w:t>
      </w:r>
      <w:r>
        <w:t>Brokers: filtros "DL" o "Dólar Linked" / "Dual" en paneles de renta fija.</w:t>
      </w:r>
    </w:p>
    <w:p w14:paraId="7D6E3E02" w14:textId="77777777" w:rsidR="00C72A37" w:rsidRDefault="00C72A37">
      <w:pPr>
        <w:spacing w:before="80" w:after="80"/>
      </w:pPr>
    </w:p>
    <w:p w14:paraId="094DD5B4" w14:textId="77777777" w:rsidR="00C72A37" w:rsidRDefault="00C72A37">
      <w:pPr>
        <w:pBdr>
          <w:bottom w:val="single" w:sz="6" w:space="1" w:color="2E6CA4"/>
        </w:pBdr>
        <w:spacing w:before="160" w:after="160"/>
      </w:pPr>
    </w:p>
    <w:p w14:paraId="0A0C215A" w14:textId="77777777" w:rsidR="00C72A37" w:rsidRDefault="00000000">
      <w:pPr>
        <w:pStyle w:val="Heading2"/>
      </w:pPr>
      <w:r>
        <w:t>📊 Tabla resumen de atributos</w:t>
      </w:r>
    </w:p>
    <w:p w14:paraId="0E682DB3" w14:textId="77777777" w:rsidR="00C72A37" w:rsidRDefault="00C72A3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C72A37" w14:paraId="63DAAE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E1C0" w14:textId="77777777" w:rsidR="00C72A37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C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65A8" w14:textId="77777777" w:rsidR="00C72A37" w:rsidRDefault="00000000">
            <w:r>
              <w:rPr>
                <w:color w:val="FFFFFF"/>
                <w:sz w:val="20"/>
                <w:szCs w:val="20"/>
              </w:rPr>
              <w:t>Valor</w:t>
            </w:r>
          </w:p>
        </w:tc>
      </w:tr>
      <w:tr w:rsidR="00C72A37" w14:paraId="1E2072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C734" w14:textId="77777777" w:rsidR="00C72A37" w:rsidRDefault="00000000">
            <w:r>
              <w:rPr>
                <w:b/>
                <w:bCs/>
                <w:color w:val="1F3864"/>
                <w:sz w:val="20"/>
                <w:szCs w:val="20"/>
              </w:rPr>
              <w:t>Tipo de instrumento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EB16" w14:textId="77777777" w:rsidR="00C72A37" w:rsidRDefault="00000000">
            <w:r>
              <w:rPr>
                <w:color w:val="333333"/>
                <w:sz w:val="20"/>
                <w:szCs w:val="20"/>
              </w:rPr>
              <w:t>Renta Fija Soberana/Corporativa indexada al TC oficial</w:t>
            </w:r>
          </w:p>
        </w:tc>
      </w:tr>
      <w:tr w:rsidR="00C72A37" w14:paraId="2AB51A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307A" w14:textId="77777777" w:rsidR="00C72A37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Moneda de cotización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95AF" w14:textId="77777777" w:rsidR="00C72A37" w:rsidRDefault="00000000">
            <w:r>
              <w:rPr>
                <w:color w:val="333333"/>
                <w:sz w:val="20"/>
                <w:szCs w:val="20"/>
              </w:rPr>
              <w:t>Pesos (pagaderos en pesos ajustados al TC oficial A3500)</w:t>
            </w:r>
          </w:p>
        </w:tc>
      </w:tr>
      <w:tr w:rsidR="00C72A37" w14:paraId="72E3AB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04EE" w14:textId="77777777" w:rsidR="00C72A37" w:rsidRDefault="00000000">
            <w:r>
              <w:rPr>
                <w:b/>
                <w:bCs/>
                <w:color w:val="1F3864"/>
                <w:sz w:val="20"/>
                <w:szCs w:val="20"/>
              </w:rPr>
              <w:t>Exposición económica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7D7EE" w14:textId="77777777" w:rsidR="00C72A37" w:rsidRDefault="00000000">
            <w:r>
              <w:rPr>
                <w:color w:val="333333"/>
                <w:sz w:val="20"/>
                <w:szCs w:val="20"/>
              </w:rPr>
              <w:t>Dólar oficial mayorista (BCRA Com. A3500)</w:t>
            </w:r>
          </w:p>
        </w:tc>
      </w:tr>
      <w:tr w:rsidR="00C72A37" w14:paraId="5336DA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7B508" w14:textId="77777777" w:rsidR="00C72A37" w:rsidRDefault="00000000">
            <w:r>
              <w:rPr>
                <w:b/>
                <w:bCs/>
                <w:color w:val="1F3864"/>
                <w:sz w:val="20"/>
                <w:szCs w:val="20"/>
              </w:rPr>
              <w:t>Genera renta periódica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B1B9" w14:textId="77777777" w:rsidR="00C72A37" w:rsidRDefault="00000000">
            <w:r>
              <w:rPr>
                <w:color w:val="333333"/>
                <w:sz w:val="20"/>
                <w:szCs w:val="20"/>
              </w:rPr>
              <w:t>Sí (cupones sobre capital ajustado al TC oficial)</w:t>
            </w:r>
          </w:p>
        </w:tc>
      </w:tr>
      <w:tr w:rsidR="00C72A37" w14:paraId="17D17C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667BA" w14:textId="77777777" w:rsidR="00C72A37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inflación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4C7F" w14:textId="77777777" w:rsidR="00C72A37" w:rsidRDefault="00000000">
            <w:r>
              <w:rPr>
                <w:color w:val="333333"/>
                <w:sz w:val="20"/>
                <w:szCs w:val="20"/>
              </w:rPr>
              <w:t>Parcial (vía tipo de cambio oficial)</w:t>
            </w:r>
          </w:p>
        </w:tc>
      </w:tr>
      <w:tr w:rsidR="00C72A37" w14:paraId="49605D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F3D2" w14:textId="77777777" w:rsidR="00C72A37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dólar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49621" w14:textId="77777777" w:rsidR="00C72A37" w:rsidRDefault="00000000">
            <w:r>
              <w:rPr>
                <w:color w:val="333333"/>
                <w:sz w:val="20"/>
                <w:szCs w:val="20"/>
              </w:rPr>
              <w:t>Sí, dólar oficial (NO dólar CCL/MEP)</w:t>
            </w:r>
          </w:p>
        </w:tc>
      </w:tr>
      <w:tr w:rsidR="00C72A37" w14:paraId="390FF2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9929" w14:textId="77777777" w:rsidR="00C72A37" w:rsidRDefault="00000000">
            <w:r>
              <w:rPr>
                <w:b/>
                <w:bCs/>
                <w:color w:val="1F3864"/>
                <w:sz w:val="20"/>
                <w:szCs w:val="20"/>
              </w:rPr>
              <w:t>Horizonte recomendado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7922" w14:textId="77777777" w:rsidR="00C72A37" w:rsidRDefault="00000000">
            <w:r>
              <w:rPr>
                <w:color w:val="333333"/>
                <w:sz w:val="20"/>
                <w:szCs w:val="20"/>
              </w:rPr>
              <w:t>Corto/mediano plazo (6-24 meses)</w:t>
            </w:r>
          </w:p>
        </w:tc>
      </w:tr>
      <w:tr w:rsidR="00C72A37" w14:paraId="3BFEE7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804D" w14:textId="77777777" w:rsidR="00C72A37" w:rsidRDefault="00000000">
            <w:r>
              <w:rPr>
                <w:b/>
                <w:bCs/>
                <w:color w:val="1F3864"/>
                <w:sz w:val="20"/>
                <w:szCs w:val="20"/>
              </w:rPr>
              <w:t>Riesgo principal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C64B" w14:textId="77777777" w:rsidR="00C72A37" w:rsidRDefault="00000000">
            <w:r>
              <w:rPr>
                <w:color w:val="333333"/>
                <w:sz w:val="20"/>
                <w:szCs w:val="20"/>
              </w:rPr>
              <w:t>Atraso cambiario (crawling peg)</w:t>
            </w:r>
          </w:p>
        </w:tc>
      </w:tr>
      <w:tr w:rsidR="00C72A37" w14:paraId="535284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80244" w14:textId="77777777" w:rsidR="00C72A37" w:rsidRDefault="00000000">
            <w:r>
              <w:rPr>
                <w:b/>
                <w:bCs/>
                <w:color w:val="1F3864"/>
                <w:sz w:val="20"/>
                <w:szCs w:val="20"/>
              </w:rPr>
              <w:t>Bonos Duales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BEC7" w14:textId="77777777" w:rsidR="00C72A37" w:rsidRDefault="00000000">
            <w:r>
              <w:rPr>
                <w:color w:val="333333"/>
                <w:sz w:val="20"/>
                <w:szCs w:val="20"/>
              </w:rPr>
              <w:t>Pagan el mayor entre CER y Dólar Linked (seguro bifronte)</w:t>
            </w:r>
          </w:p>
        </w:tc>
      </w:tr>
      <w:tr w:rsidR="00C72A37" w14:paraId="12F2E9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A36F" w14:textId="77777777" w:rsidR="00C72A37" w:rsidRDefault="00000000">
            <w:r>
              <w:rPr>
                <w:b/>
                <w:bCs/>
                <w:color w:val="1F3864"/>
                <w:sz w:val="20"/>
                <w:szCs w:val="20"/>
              </w:rPr>
              <w:t>Mercados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8AB3" w14:textId="77777777" w:rsidR="00C72A37" w:rsidRDefault="00000000">
            <w:r>
              <w:rPr>
                <w:color w:val="333333"/>
                <w:sz w:val="20"/>
                <w:szCs w:val="20"/>
              </w:rPr>
              <w:t>BYMA / MAE / Licitaciones primarias</w:t>
            </w:r>
          </w:p>
        </w:tc>
      </w:tr>
      <w:tr w:rsidR="00C72A37" w14:paraId="6F872E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DDE5" w14:textId="77777777" w:rsidR="00C72A37" w:rsidRDefault="00000000">
            <w:r>
              <w:rPr>
                <w:b/>
                <w:bCs/>
                <w:color w:val="1F3864"/>
                <w:sz w:val="20"/>
                <w:szCs w:val="20"/>
              </w:rPr>
              <w:t>Referencia del índice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5DED" w14:textId="77777777" w:rsidR="00C72A37" w:rsidRDefault="00000000">
            <w:r>
              <w:rPr>
                <w:color w:val="333333"/>
                <w:sz w:val="20"/>
                <w:szCs w:val="20"/>
              </w:rPr>
              <w:t>Tipo de cambio A3500 (BCRA)</w:t>
            </w:r>
          </w:p>
        </w:tc>
      </w:tr>
    </w:tbl>
    <w:p w14:paraId="30188969" w14:textId="77777777" w:rsidR="00C72A37" w:rsidRDefault="00C72A37">
      <w:pPr>
        <w:spacing w:before="80" w:after="80"/>
      </w:pPr>
    </w:p>
    <w:p w14:paraId="385C53F1" w14:textId="77777777" w:rsidR="00C72A37" w:rsidRDefault="00C72A37">
      <w:pPr>
        <w:pBdr>
          <w:bottom w:val="single" w:sz="6" w:space="1" w:color="2E6CA4"/>
        </w:pBdr>
        <w:spacing w:before="160" w:after="160"/>
      </w:pPr>
    </w:p>
    <w:sectPr w:rsidR="00C72A37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31F11F" w14:textId="77777777" w:rsidR="00902135" w:rsidRDefault="00902135">
      <w:r>
        <w:separator/>
      </w:r>
    </w:p>
  </w:endnote>
  <w:endnote w:type="continuationSeparator" w:id="0">
    <w:p w14:paraId="2FCFE06C" w14:textId="77777777" w:rsidR="00902135" w:rsidRDefault="00902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414ADF" w14:textId="77777777" w:rsidR="00C72A37" w:rsidRDefault="00000000">
    <w:pPr>
      <w:jc w:val="right"/>
    </w:pPr>
    <w:r>
      <w:rPr>
        <w:color w:val="888888"/>
        <w:sz w:val="18"/>
        <w:szCs w:val="18"/>
      </w:rPr>
      <w:t xml:space="preserve">Wiki de Inversiones · Bonos Dólar Linked y Duales ·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9156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B87FAC" w14:textId="77777777" w:rsidR="00902135" w:rsidRDefault="00902135">
      <w:r>
        <w:separator/>
      </w:r>
    </w:p>
  </w:footnote>
  <w:footnote w:type="continuationSeparator" w:id="0">
    <w:p w14:paraId="1FABB96B" w14:textId="77777777" w:rsidR="00902135" w:rsidRDefault="009021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6A60B6"/>
    <w:multiLevelType w:val="hybridMultilevel"/>
    <w:tmpl w:val="FF285368"/>
    <w:lvl w:ilvl="0" w:tplc="3DC87CEC">
      <w:start w:val="1"/>
      <w:numFmt w:val="bullet"/>
      <w:lvlText w:val="•"/>
      <w:lvlJc w:val="left"/>
      <w:pPr>
        <w:ind w:left="720" w:hanging="360"/>
      </w:pPr>
    </w:lvl>
    <w:lvl w:ilvl="1" w:tplc="D270BEE8">
      <w:numFmt w:val="decimal"/>
      <w:lvlText w:val=""/>
      <w:lvlJc w:val="left"/>
    </w:lvl>
    <w:lvl w:ilvl="2" w:tplc="6E6483B6">
      <w:numFmt w:val="decimal"/>
      <w:lvlText w:val=""/>
      <w:lvlJc w:val="left"/>
    </w:lvl>
    <w:lvl w:ilvl="3" w:tplc="786E918A">
      <w:numFmt w:val="decimal"/>
      <w:lvlText w:val=""/>
      <w:lvlJc w:val="left"/>
    </w:lvl>
    <w:lvl w:ilvl="4" w:tplc="DCD6B2E0">
      <w:numFmt w:val="decimal"/>
      <w:lvlText w:val=""/>
      <w:lvlJc w:val="left"/>
    </w:lvl>
    <w:lvl w:ilvl="5" w:tplc="D51647D6">
      <w:numFmt w:val="decimal"/>
      <w:lvlText w:val=""/>
      <w:lvlJc w:val="left"/>
    </w:lvl>
    <w:lvl w:ilvl="6" w:tplc="4530D06E">
      <w:numFmt w:val="decimal"/>
      <w:lvlText w:val=""/>
      <w:lvlJc w:val="left"/>
    </w:lvl>
    <w:lvl w:ilvl="7" w:tplc="811C8830">
      <w:numFmt w:val="decimal"/>
      <w:lvlText w:val=""/>
      <w:lvlJc w:val="left"/>
    </w:lvl>
    <w:lvl w:ilvl="8" w:tplc="FBAC92C6">
      <w:numFmt w:val="decimal"/>
      <w:lvlText w:val=""/>
      <w:lvlJc w:val="left"/>
    </w:lvl>
  </w:abstractNum>
  <w:abstractNum w:abstractNumId="1" w15:restartNumberingAfterBreak="0">
    <w:nsid w:val="74F94DEF"/>
    <w:multiLevelType w:val="hybridMultilevel"/>
    <w:tmpl w:val="00CC0AD4"/>
    <w:lvl w:ilvl="0" w:tplc="C3901928">
      <w:start w:val="1"/>
      <w:numFmt w:val="bullet"/>
      <w:lvlText w:val="●"/>
      <w:lvlJc w:val="left"/>
      <w:pPr>
        <w:ind w:left="720" w:hanging="360"/>
      </w:pPr>
    </w:lvl>
    <w:lvl w:ilvl="1" w:tplc="8B04B9C8">
      <w:start w:val="1"/>
      <w:numFmt w:val="bullet"/>
      <w:lvlText w:val="○"/>
      <w:lvlJc w:val="left"/>
      <w:pPr>
        <w:ind w:left="1440" w:hanging="360"/>
      </w:pPr>
    </w:lvl>
    <w:lvl w:ilvl="2" w:tplc="E7C40ECE">
      <w:start w:val="1"/>
      <w:numFmt w:val="bullet"/>
      <w:lvlText w:val="■"/>
      <w:lvlJc w:val="left"/>
      <w:pPr>
        <w:ind w:left="2160" w:hanging="360"/>
      </w:pPr>
    </w:lvl>
    <w:lvl w:ilvl="3" w:tplc="48CE8C76">
      <w:start w:val="1"/>
      <w:numFmt w:val="bullet"/>
      <w:lvlText w:val="●"/>
      <w:lvlJc w:val="left"/>
      <w:pPr>
        <w:ind w:left="2880" w:hanging="360"/>
      </w:pPr>
    </w:lvl>
    <w:lvl w:ilvl="4" w:tplc="14E26712">
      <w:start w:val="1"/>
      <w:numFmt w:val="bullet"/>
      <w:lvlText w:val="○"/>
      <w:lvlJc w:val="left"/>
      <w:pPr>
        <w:ind w:left="3600" w:hanging="360"/>
      </w:pPr>
    </w:lvl>
    <w:lvl w:ilvl="5" w:tplc="95D2038E">
      <w:start w:val="1"/>
      <w:numFmt w:val="bullet"/>
      <w:lvlText w:val="■"/>
      <w:lvlJc w:val="left"/>
      <w:pPr>
        <w:ind w:left="4320" w:hanging="360"/>
      </w:pPr>
    </w:lvl>
    <w:lvl w:ilvl="6" w:tplc="D0C00BA8">
      <w:start w:val="1"/>
      <w:numFmt w:val="bullet"/>
      <w:lvlText w:val="●"/>
      <w:lvlJc w:val="left"/>
      <w:pPr>
        <w:ind w:left="5040" w:hanging="360"/>
      </w:pPr>
    </w:lvl>
    <w:lvl w:ilvl="7" w:tplc="780E492A">
      <w:start w:val="1"/>
      <w:numFmt w:val="bullet"/>
      <w:lvlText w:val="●"/>
      <w:lvlJc w:val="left"/>
      <w:pPr>
        <w:ind w:left="5760" w:hanging="360"/>
      </w:pPr>
    </w:lvl>
    <w:lvl w:ilvl="8" w:tplc="3788A97A">
      <w:start w:val="1"/>
      <w:numFmt w:val="bullet"/>
      <w:lvlText w:val="●"/>
      <w:lvlJc w:val="left"/>
      <w:pPr>
        <w:ind w:left="6480" w:hanging="360"/>
      </w:pPr>
    </w:lvl>
  </w:abstractNum>
  <w:num w:numId="1" w16cid:durableId="1645501971">
    <w:abstractNumId w:val="1"/>
    <w:lvlOverride w:ilvl="0">
      <w:startOverride w:val="1"/>
    </w:lvlOverride>
  </w:num>
  <w:num w:numId="2" w16cid:durableId="18405365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A37"/>
    <w:rsid w:val="007F26D7"/>
    <w:rsid w:val="00902135"/>
    <w:rsid w:val="00A91564"/>
    <w:rsid w:val="00C7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9C04F9"/>
  <w15:docId w15:val="{8A9C296A-FE98-AC4C-9C8A-6A3EC11E8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C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681</Words>
  <Characters>3854</Characters>
  <Application>Microsoft Office Word</Application>
  <DocSecurity>0</DocSecurity>
  <Lines>101</Lines>
  <Paragraphs>64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 Grasso</cp:lastModifiedBy>
  <cp:revision>2</cp:revision>
  <dcterms:created xsi:type="dcterms:W3CDTF">2026-06-23T14:44:00Z</dcterms:created>
  <dcterms:modified xsi:type="dcterms:W3CDTF">2026-07-12T19:35:00Z</dcterms:modified>
</cp:coreProperties>
</file>