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E144EC" w14:textId="77777777" w:rsidR="00CF7666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Cauciones Bursátiles</w:t>
      </w:r>
    </w:p>
    <w:p w14:paraId="311E014E" w14:textId="77777777" w:rsidR="00CF7666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6724D291" w14:textId="77777777" w:rsidR="00CF7666" w:rsidRDefault="00CF7666">
      <w:pPr>
        <w:pBdr>
          <w:bottom w:val="single" w:sz="6" w:space="1" w:color="2E6CA4"/>
        </w:pBdr>
        <w:spacing w:before="160" w:after="160"/>
      </w:pPr>
    </w:p>
    <w:p w14:paraId="0AAEFE96" w14:textId="77777777" w:rsidR="00CF7666" w:rsidRDefault="00000000">
      <w:pPr>
        <w:pStyle w:val="Heading2"/>
      </w:pPr>
      <w:r>
        <w:t>¿Qué es?</w:t>
      </w:r>
    </w:p>
    <w:p w14:paraId="76698845" w14:textId="77777777" w:rsidR="00CF7666" w:rsidRDefault="00000000">
      <w:pPr>
        <w:spacing w:before="60" w:after="60"/>
      </w:pPr>
      <w:r>
        <w:t>Una caución bursátil es una operación de muy corto plazo equivalente funcional a un depósito a plazo, pero ejecutada dentro de las plataformas del mercado de capitales con garantías superiores. Existen dos actores:</w:t>
      </w:r>
    </w:p>
    <w:p w14:paraId="499DBFB8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Colocador (prestamista): </w:t>
      </w:r>
      <w:r>
        <w:t>Colocador: el ahorrista que cede liquidez (pesos) a cambio de percibir una tasa de interés por el período pactado.</w:t>
      </w:r>
    </w:p>
    <w:p w14:paraId="43D0CB0A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Tomador (prestatario): </w:t>
      </w:r>
      <w:r>
        <w:t>Tomador: el que recibe los fondos prestados, entregando como garantía un colateral de bonos o acciones que supera el valor prestado (mecanismo de "aforo").</w:t>
      </w:r>
    </w:p>
    <w:p w14:paraId="3C0A0644" w14:textId="77777777" w:rsidR="00CF7666" w:rsidRDefault="00000000">
      <w:pPr>
        <w:spacing w:before="60" w:after="60"/>
      </w:pPr>
      <w:r>
        <w:t>La garantía es el pilar de seguridad: BYMA exige al tomador depositar activos financieros valuados a mercado por un monto mayor al capital prestado. Si hay incumplimiento, la central bursátil liquida automáticamente los activos del colateral e indemniza al colocador.</w:t>
      </w:r>
    </w:p>
    <w:p w14:paraId="679F2B0E" w14:textId="77777777" w:rsidR="00CF7666" w:rsidRDefault="00000000">
      <w:pPr>
        <w:spacing w:before="60" w:after="60"/>
      </w:pPr>
      <w:r>
        <w:t>Los plazos van de 1 jornada a 120 días. Para el inversor minorista, muchos brokers ofrecen cauciones como alternativa automática a los fondos Money Market.</w:t>
      </w:r>
    </w:p>
    <w:p w14:paraId="60439572" w14:textId="77777777" w:rsidR="00CF7666" w:rsidRDefault="00CF7666">
      <w:pPr>
        <w:spacing w:before="80" w:after="80"/>
      </w:pPr>
    </w:p>
    <w:p w14:paraId="1BC91CB2" w14:textId="77777777" w:rsidR="00CF7666" w:rsidRDefault="00000000">
      <w:pPr>
        <w:pStyle w:val="Heading2"/>
      </w:pPr>
      <w:r>
        <w:t>¿Cómo funciona el flujo de dinero?</w:t>
      </w:r>
    </w:p>
    <w:p w14:paraId="0D5E89D2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en tu broker indicás que querés colocar pesos en caución por X días. El sistema matchea con un tomador y la operación se concerta con tasa predeterminada por el mercado.</w:t>
      </w:r>
    </w:p>
    <w:p w14:paraId="7ED9F6C1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la tasa es la que dicta la oferta y la demanda en el momento de la operación. Suele ser cercana a la tasa de política monetaria del BCRA.</w:t>
      </w:r>
    </w:p>
    <w:p w14:paraId="0ADC5688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al vencimiento, se acredita automáticamente en tu cuenta el capital + los intereses, sin fricciones burocráticas.</w:t>
      </w:r>
    </w:p>
    <w:p w14:paraId="41F06205" w14:textId="77777777" w:rsidR="00CF7666" w:rsidRDefault="00000000">
      <w:pPr>
        <w:spacing w:before="60" w:after="60"/>
      </w:pPr>
      <w:r>
        <w:t>Existen cauciones en dólares, pero tienen volúmenes casi testimoniales y rendimientos mínimos. Su atractivo es marginal.</w:t>
      </w:r>
    </w:p>
    <w:p w14:paraId="3DED1FA6" w14:textId="77777777" w:rsidR="00CF7666" w:rsidRDefault="00CF7666">
      <w:pPr>
        <w:spacing w:before="80" w:after="80"/>
      </w:pPr>
    </w:p>
    <w:p w14:paraId="4CE4083C" w14:textId="77777777" w:rsidR="00CF7666" w:rsidRDefault="00000000">
      <w:pPr>
        <w:pStyle w:val="Heading2"/>
      </w:pPr>
      <w:r>
        <w:t>Moneda de exposición al riesgo</w:t>
      </w:r>
    </w:p>
    <w:p w14:paraId="631CB2F9" w14:textId="77777777" w:rsidR="00CF7666" w:rsidRDefault="00000000">
      <w:pPr>
        <w:spacing w:before="60" w:after="60"/>
      </w:pPr>
      <w:r>
        <w:t>Pesos argentinos en la enorme mayoría de los casos. No provee cobertura cambiaria ni inflacionaria directa.</w:t>
      </w:r>
    </w:p>
    <w:p w14:paraId="5F0AD7BE" w14:textId="77777777" w:rsidR="00CF7666" w:rsidRDefault="00CF7666">
      <w:pPr>
        <w:spacing w:before="80" w:after="80"/>
      </w:pPr>
    </w:p>
    <w:p w14:paraId="3E037355" w14:textId="77777777" w:rsidR="00CF7666" w:rsidRDefault="00000000">
      <w:pPr>
        <w:pStyle w:val="Heading2"/>
      </w:pPr>
      <w:r>
        <w:t>Principales riesgos estructurales</w:t>
      </w:r>
    </w:p>
    <w:p w14:paraId="256C5F85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crédito: </w:t>
      </w:r>
      <w:r>
        <w:t>Riesgo de crédito: prácticamente nulo. El mecanismo de aforo y la garantía de BYMA hacen que el riesgo sea sistémico (colapso total del sistema bursátil), no individual del tomador.</w:t>
      </w:r>
    </w:p>
    <w:p w14:paraId="49992A69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inflacionario: </w:t>
      </w:r>
      <w:r>
        <w:t>Riesgo inflacionario: la tasa puede no compensar la inflación real, especialmente en contextos de aceleración de precios.</w:t>
      </w:r>
    </w:p>
    <w:p w14:paraId="13FCE7B9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tasa: </w:t>
      </w:r>
      <w:r>
        <w:t>Riesgo de tasa: la tasa se pacta al inicio; si los tipos de interés suben bruscamente, podrías haber comprometido el capital a una tasa menor que la nueva de mercado.</w:t>
      </w:r>
    </w:p>
    <w:p w14:paraId="6852550F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regulatorio: cambios en normativa de BYMA sobre aforos, plazos o activos elegibles como colateral.</w:t>
      </w:r>
    </w:p>
    <w:p w14:paraId="39960AC6" w14:textId="77777777" w:rsidR="00CF7666" w:rsidRDefault="00CF7666">
      <w:pPr>
        <w:spacing w:before="80" w:after="80"/>
      </w:pPr>
    </w:p>
    <w:p w14:paraId="4C281E1A" w14:textId="77777777" w:rsidR="00CF7666" w:rsidRDefault="00000000">
      <w:pPr>
        <w:pStyle w:val="Heading2"/>
      </w:pPr>
      <w:r>
        <w:t>Horizonte recomendado</w:t>
      </w:r>
    </w:p>
    <w:p w14:paraId="3A17B2EC" w14:textId="77777777" w:rsidR="00CF7666" w:rsidRDefault="00000000">
      <w:pPr>
        <w:spacing w:before="60" w:after="60"/>
      </w:pPr>
      <w:r>
        <w:t>Muy corto plazo (1-30 días). Ideal para rentabilizar saldos transitorios: entre operaciones, en fines de semana prolongados, o mientras se decide en qué invertir. Complementa o compite directamente con los fondos Money Market T+0.</w:t>
      </w:r>
    </w:p>
    <w:p w14:paraId="3A37DBA8" w14:textId="77777777" w:rsidR="00CF7666" w:rsidRDefault="00CF7666">
      <w:pPr>
        <w:spacing w:before="80" w:after="80"/>
      </w:pPr>
    </w:p>
    <w:p w14:paraId="0BF2804B" w14:textId="77777777" w:rsidR="00CF7666" w:rsidRDefault="00000000">
      <w:pPr>
        <w:pStyle w:val="Heading2"/>
      </w:pPr>
      <w:r>
        <w:t>Ticket mínimo y accesibilidad</w:t>
      </w:r>
    </w:p>
    <w:p w14:paraId="713082ED" w14:textId="77777777" w:rsidR="00CF7666" w:rsidRDefault="00000000">
      <w:pPr>
        <w:spacing w:before="60" w:after="60"/>
      </w:pPr>
      <w:r>
        <w:t>Bajos. La mayoría de los brokers permiten operar cauciones desde montos accesibles para el pequeño inversor. En general son simples de ejecutar: en pocas interacciones desde el home del broker.</w:t>
      </w:r>
    </w:p>
    <w:p w14:paraId="6D1BBB73" w14:textId="77777777" w:rsidR="00CF7666" w:rsidRDefault="00CF7666">
      <w:pPr>
        <w:spacing w:before="80" w:after="80"/>
      </w:pPr>
    </w:p>
    <w:p w14:paraId="5BF326A2" w14:textId="77777777" w:rsidR="00CF7666" w:rsidRDefault="00000000">
      <w:pPr>
        <w:pStyle w:val="Heading2"/>
      </w:pPr>
      <w:r>
        <w:t>¿Cuándo tiene sentido usarlas?</w:t>
      </w:r>
    </w:p>
    <w:p w14:paraId="1A1DF86F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t>Para rentabilizar saldos transitorios de pesos entre operaciones bursátiles.</w:t>
      </w:r>
    </w:p>
    <w:p w14:paraId="0AD07D2A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t>Como alternativa al fondo Money Market cuando la tasa de caución es superior a la que ofrece el fondo disponible.</w:t>
      </w:r>
    </w:p>
    <w:p w14:paraId="7B5E68A1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t>Para cubrir el fin de semana o feriados prolongados cuando otros instrumentos no están disponibles.</w:t>
      </w:r>
    </w:p>
    <w:p w14:paraId="6FE0E76A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t>Como instrumento conservador de liquidez para inversores que no quieren asumir riesgo de price de mercado.</w:t>
      </w:r>
    </w:p>
    <w:p w14:paraId="221AC22C" w14:textId="77777777" w:rsidR="00CF7666" w:rsidRDefault="00CF7666">
      <w:pPr>
        <w:spacing w:before="80" w:after="80"/>
      </w:pPr>
    </w:p>
    <w:p w14:paraId="7797E4C7" w14:textId="77777777" w:rsidR="00CF7666" w:rsidRDefault="00000000">
      <w:pPr>
        <w:pStyle w:val="Heading2"/>
      </w:pPr>
      <w:r>
        <w:t>Dónde ver información actualizada</w:t>
      </w:r>
    </w:p>
    <w:p w14:paraId="19309B7C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Data: panel de cauciones con tasas vigentes minuto a minuto, plazos disponibles y volúmenes.</w:t>
      </w:r>
    </w:p>
    <w:p w14:paraId="78C99AD1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Paneles de brokers: todos los ALyCs relevantes muestran las tasas de caución en tiempo real y permiten operar con pocos clics.</w:t>
      </w:r>
    </w:p>
    <w:p w14:paraId="69453BA9" w14:textId="77777777" w:rsidR="00CF76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CAFCI (comparación): </w:t>
      </w:r>
      <w:r>
        <w:t>CAFCI (cafci.org.ar): para comparar si el rendimiento de la caución es mejor que el del fondo Money Market disponible.</w:t>
      </w:r>
    </w:p>
    <w:p w14:paraId="200EA647" w14:textId="77777777" w:rsidR="00CF7666" w:rsidRDefault="00CF7666">
      <w:pPr>
        <w:spacing w:before="80" w:after="80"/>
      </w:pPr>
    </w:p>
    <w:p w14:paraId="6D0DAA23" w14:textId="77777777" w:rsidR="00CF7666" w:rsidRDefault="00CF7666">
      <w:pPr>
        <w:pBdr>
          <w:bottom w:val="single" w:sz="6" w:space="1" w:color="2E6CA4"/>
        </w:pBdr>
        <w:spacing w:before="160" w:after="160"/>
      </w:pPr>
    </w:p>
    <w:p w14:paraId="4044F155" w14:textId="77777777" w:rsidR="00CF7666" w:rsidRDefault="00000000">
      <w:pPr>
        <w:pStyle w:val="Heading2"/>
      </w:pPr>
      <w:r>
        <w:lastRenderedPageBreak/>
        <w:t>📊 Tabla resumen de atributos</w:t>
      </w:r>
    </w:p>
    <w:p w14:paraId="2FEB2405" w14:textId="77777777" w:rsidR="00CF7666" w:rsidRDefault="00CF76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F7666" w14:paraId="1785EF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9AFF" w14:textId="77777777" w:rsidR="00CF7666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17E9" w14:textId="77777777" w:rsidR="00CF7666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CF7666" w14:paraId="050656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BD44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9BDD" w14:textId="77777777" w:rsidR="00CF7666" w:rsidRDefault="00000000">
            <w:r>
              <w:rPr>
                <w:color w:val="333333"/>
                <w:sz w:val="20"/>
                <w:szCs w:val="20"/>
              </w:rPr>
              <w:t>Repo / Préstamo garantizado con colateral bursátil</w:t>
            </w:r>
          </w:p>
        </w:tc>
      </w:tr>
      <w:tr w:rsidR="00CF7666" w14:paraId="068FF7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6E8F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553D" w14:textId="77777777" w:rsidR="00CF7666" w:rsidRDefault="00000000">
            <w:r>
              <w:rPr>
                <w:color w:val="333333"/>
                <w:sz w:val="20"/>
                <w:szCs w:val="20"/>
              </w:rPr>
              <w:t>Pesos (principal volumen) / Dólares (marginal)</w:t>
            </w:r>
          </w:p>
        </w:tc>
      </w:tr>
      <w:tr w:rsidR="00CF7666" w14:paraId="63FB59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AA40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Plazo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5002" w14:textId="77777777" w:rsidR="00CF7666" w:rsidRDefault="00000000">
            <w:r>
              <w:rPr>
                <w:color w:val="333333"/>
                <w:sz w:val="20"/>
                <w:szCs w:val="20"/>
              </w:rPr>
              <w:t>1 a 120 días</w:t>
            </w:r>
          </w:p>
        </w:tc>
      </w:tr>
      <w:tr w:rsidR="00CF7666" w14:paraId="42A601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4EBB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2151" w14:textId="77777777" w:rsidR="00CF7666" w:rsidRDefault="00000000">
            <w:r>
              <w:rPr>
                <w:color w:val="333333"/>
                <w:sz w:val="20"/>
                <w:szCs w:val="20"/>
              </w:rPr>
              <w:t>Tasa pactada por oferta y demanda (mercado)</w:t>
            </w:r>
          </w:p>
        </w:tc>
      </w:tr>
      <w:tr w:rsidR="00CF7666" w14:paraId="03AA9D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0741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50FC" w14:textId="77777777" w:rsidR="00CF766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CF7666" w14:paraId="115E8B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1C0E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15C9" w14:textId="77777777" w:rsidR="00CF7666" w:rsidRDefault="00000000">
            <w:r>
              <w:rPr>
                <w:color w:val="333333"/>
                <w:sz w:val="20"/>
                <w:szCs w:val="20"/>
              </w:rPr>
              <w:t>No (en pesos) / Marginal (en USD)</w:t>
            </w:r>
          </w:p>
        </w:tc>
      </w:tr>
      <w:tr w:rsidR="00CF7666" w14:paraId="3F9E46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574B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C57E" w14:textId="77777777" w:rsidR="00CF7666" w:rsidRDefault="00000000">
            <w:r>
              <w:rPr>
                <w:color w:val="333333"/>
                <w:sz w:val="20"/>
                <w:szCs w:val="20"/>
              </w:rPr>
              <w:t>Muy corto plazo (1-30 días)</w:t>
            </w:r>
          </w:p>
        </w:tc>
      </w:tr>
      <w:tr w:rsidR="00CF7666" w14:paraId="25E371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BFD4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Riesgo de crédito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A8C" w14:textId="77777777" w:rsidR="00CF7666" w:rsidRDefault="00000000">
            <w:r>
              <w:rPr>
                <w:color w:val="333333"/>
                <w:sz w:val="20"/>
                <w:szCs w:val="20"/>
              </w:rPr>
              <w:t>Prácticamente nulo (garantizado por BYMA mediante "aforo")</w:t>
            </w:r>
          </w:p>
        </w:tc>
      </w:tr>
      <w:tr w:rsidR="00CF7666" w14:paraId="112086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AC24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B467" w14:textId="77777777" w:rsidR="00CF7666" w:rsidRDefault="00000000">
            <w:r>
              <w:rPr>
                <w:color w:val="333333"/>
                <w:sz w:val="20"/>
                <w:szCs w:val="20"/>
              </w:rPr>
              <w:t>Bajo (operables desde homebanking o broker)</w:t>
            </w:r>
          </w:p>
        </w:tc>
      </w:tr>
      <w:tr w:rsidR="00CF7666" w14:paraId="658F44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D1E6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388C" w14:textId="77777777" w:rsidR="00CF7666" w:rsidRDefault="00000000">
            <w:r>
              <w:rPr>
                <w:color w:val="333333"/>
                <w:sz w:val="20"/>
                <w:szCs w:val="20"/>
              </w:rPr>
              <w:t>BYMA (garantizado por la central bursátil)</w:t>
            </w:r>
          </w:p>
        </w:tc>
      </w:tr>
      <w:tr w:rsidR="00CF7666" w14:paraId="7DED43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D7B4" w14:textId="77777777" w:rsidR="00CF7666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EBC2" w14:textId="77777777" w:rsidR="00CF7666" w:rsidRDefault="00000000">
            <w:r>
              <w:rPr>
                <w:color w:val="333333"/>
                <w:sz w:val="20"/>
                <w:szCs w:val="20"/>
              </w:rPr>
              <w:t>CNV / BYMA</w:t>
            </w:r>
          </w:p>
        </w:tc>
      </w:tr>
    </w:tbl>
    <w:p w14:paraId="123E81CF" w14:textId="77777777" w:rsidR="00CF7666" w:rsidRDefault="00CF7666">
      <w:pPr>
        <w:spacing w:before="80" w:after="80"/>
      </w:pPr>
    </w:p>
    <w:p w14:paraId="0306A411" w14:textId="77777777" w:rsidR="00CF7666" w:rsidRDefault="00CF7666">
      <w:pPr>
        <w:pBdr>
          <w:bottom w:val="single" w:sz="6" w:space="1" w:color="2E6CA4"/>
        </w:pBdr>
        <w:spacing w:before="160" w:after="160"/>
      </w:pPr>
    </w:p>
    <w:sectPr w:rsidR="00CF766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4CB738" w14:textId="77777777" w:rsidR="00C86D56" w:rsidRDefault="00C86D56">
      <w:r>
        <w:separator/>
      </w:r>
    </w:p>
  </w:endnote>
  <w:endnote w:type="continuationSeparator" w:id="0">
    <w:p w14:paraId="74980342" w14:textId="77777777" w:rsidR="00C86D56" w:rsidRDefault="00C8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28F18" w14:textId="77777777" w:rsidR="00CF7666" w:rsidRDefault="00000000">
    <w:pPr>
      <w:jc w:val="right"/>
    </w:pPr>
    <w:r>
      <w:rPr>
        <w:color w:val="888888"/>
        <w:sz w:val="18"/>
        <w:szCs w:val="18"/>
      </w:rPr>
      <w:t xml:space="preserve">Wiki de Inversiones · Cauciones Bursátiles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022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43830D" w14:textId="77777777" w:rsidR="00C86D56" w:rsidRDefault="00C86D56">
      <w:r>
        <w:separator/>
      </w:r>
    </w:p>
  </w:footnote>
  <w:footnote w:type="continuationSeparator" w:id="0">
    <w:p w14:paraId="5099ADE9" w14:textId="77777777" w:rsidR="00C86D56" w:rsidRDefault="00C8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4453D"/>
    <w:multiLevelType w:val="hybridMultilevel"/>
    <w:tmpl w:val="03AE6BB2"/>
    <w:lvl w:ilvl="0" w:tplc="151AC34A">
      <w:start w:val="1"/>
      <w:numFmt w:val="bullet"/>
      <w:lvlText w:val="●"/>
      <w:lvlJc w:val="left"/>
      <w:pPr>
        <w:ind w:left="720" w:hanging="360"/>
      </w:pPr>
    </w:lvl>
    <w:lvl w:ilvl="1" w:tplc="9F6A1928">
      <w:start w:val="1"/>
      <w:numFmt w:val="bullet"/>
      <w:lvlText w:val="○"/>
      <w:lvlJc w:val="left"/>
      <w:pPr>
        <w:ind w:left="1440" w:hanging="360"/>
      </w:pPr>
    </w:lvl>
    <w:lvl w:ilvl="2" w:tplc="64BCF886">
      <w:start w:val="1"/>
      <w:numFmt w:val="bullet"/>
      <w:lvlText w:val="■"/>
      <w:lvlJc w:val="left"/>
      <w:pPr>
        <w:ind w:left="2160" w:hanging="360"/>
      </w:pPr>
    </w:lvl>
    <w:lvl w:ilvl="3" w:tplc="D794D7EE">
      <w:start w:val="1"/>
      <w:numFmt w:val="bullet"/>
      <w:lvlText w:val="●"/>
      <w:lvlJc w:val="left"/>
      <w:pPr>
        <w:ind w:left="2880" w:hanging="360"/>
      </w:pPr>
    </w:lvl>
    <w:lvl w:ilvl="4" w:tplc="76A2BAB0">
      <w:start w:val="1"/>
      <w:numFmt w:val="bullet"/>
      <w:lvlText w:val="○"/>
      <w:lvlJc w:val="left"/>
      <w:pPr>
        <w:ind w:left="3600" w:hanging="360"/>
      </w:pPr>
    </w:lvl>
    <w:lvl w:ilvl="5" w:tplc="7CD45C2E">
      <w:start w:val="1"/>
      <w:numFmt w:val="bullet"/>
      <w:lvlText w:val="■"/>
      <w:lvlJc w:val="left"/>
      <w:pPr>
        <w:ind w:left="4320" w:hanging="360"/>
      </w:pPr>
    </w:lvl>
    <w:lvl w:ilvl="6" w:tplc="C7CC60FE">
      <w:start w:val="1"/>
      <w:numFmt w:val="bullet"/>
      <w:lvlText w:val="●"/>
      <w:lvlJc w:val="left"/>
      <w:pPr>
        <w:ind w:left="5040" w:hanging="360"/>
      </w:pPr>
    </w:lvl>
    <w:lvl w:ilvl="7" w:tplc="7F4AB170">
      <w:start w:val="1"/>
      <w:numFmt w:val="bullet"/>
      <w:lvlText w:val="●"/>
      <w:lvlJc w:val="left"/>
      <w:pPr>
        <w:ind w:left="5760" w:hanging="360"/>
      </w:pPr>
    </w:lvl>
    <w:lvl w:ilvl="8" w:tplc="BBFEB7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172F9"/>
    <w:multiLevelType w:val="hybridMultilevel"/>
    <w:tmpl w:val="2EB674CA"/>
    <w:lvl w:ilvl="0" w:tplc="D9FAE8C8">
      <w:start w:val="1"/>
      <w:numFmt w:val="bullet"/>
      <w:lvlText w:val="•"/>
      <w:lvlJc w:val="left"/>
      <w:pPr>
        <w:ind w:left="720" w:hanging="360"/>
      </w:pPr>
    </w:lvl>
    <w:lvl w:ilvl="1" w:tplc="F51A818C">
      <w:numFmt w:val="decimal"/>
      <w:lvlText w:val=""/>
      <w:lvlJc w:val="left"/>
    </w:lvl>
    <w:lvl w:ilvl="2" w:tplc="5E1CE5EE">
      <w:numFmt w:val="decimal"/>
      <w:lvlText w:val=""/>
      <w:lvlJc w:val="left"/>
    </w:lvl>
    <w:lvl w:ilvl="3" w:tplc="6A2A5600">
      <w:numFmt w:val="decimal"/>
      <w:lvlText w:val=""/>
      <w:lvlJc w:val="left"/>
    </w:lvl>
    <w:lvl w:ilvl="4" w:tplc="99C80B9E">
      <w:numFmt w:val="decimal"/>
      <w:lvlText w:val=""/>
      <w:lvlJc w:val="left"/>
    </w:lvl>
    <w:lvl w:ilvl="5" w:tplc="273A544A">
      <w:numFmt w:val="decimal"/>
      <w:lvlText w:val=""/>
      <w:lvlJc w:val="left"/>
    </w:lvl>
    <w:lvl w:ilvl="6" w:tplc="045CA238">
      <w:numFmt w:val="decimal"/>
      <w:lvlText w:val=""/>
      <w:lvlJc w:val="left"/>
    </w:lvl>
    <w:lvl w:ilvl="7" w:tplc="D7928736">
      <w:numFmt w:val="decimal"/>
      <w:lvlText w:val=""/>
      <w:lvlJc w:val="left"/>
    </w:lvl>
    <w:lvl w:ilvl="8" w:tplc="A4500E12">
      <w:numFmt w:val="decimal"/>
      <w:lvlText w:val=""/>
      <w:lvlJc w:val="left"/>
    </w:lvl>
  </w:abstractNum>
  <w:num w:numId="1" w16cid:durableId="1438985195">
    <w:abstractNumId w:val="0"/>
    <w:lvlOverride w:ilvl="0">
      <w:startOverride w:val="1"/>
    </w:lvlOverride>
  </w:num>
  <w:num w:numId="2" w16cid:durableId="92676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666"/>
    <w:rsid w:val="00502239"/>
    <w:rsid w:val="007F26D7"/>
    <w:rsid w:val="00C86D56"/>
    <w:rsid w:val="00CF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7258B9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3754</Characters>
  <Application>Microsoft Office Word</Application>
  <DocSecurity>0</DocSecurity>
  <Lines>98</Lines>
  <Paragraphs>63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2026-07-12T19:34:00Z</dcterms:modified>
</cp:coreProperties>
</file>