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32330D" w14:textId="77777777" w:rsidR="00BF58E2" w:rsidRDefault="00000000">
      <w:pPr>
        <w:spacing w:before="400" w:after="120"/>
        <w:jc w:val="center"/>
      </w:pPr>
      <w:r>
        <w:rPr>
          <w:b/>
          <w:bCs/>
          <w:color w:val="1F3864"/>
          <w:sz w:val="52"/>
          <w:szCs w:val="52"/>
        </w:rPr>
        <w:t>Obligaciones Negociables (ON) Corporativas</w:t>
      </w:r>
    </w:p>
    <w:p w14:paraId="64DD2B66" w14:textId="77777777" w:rsidR="00BF58E2" w:rsidRDefault="00000000"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>Wiki de Inversiones · Mercado Argentino</w:t>
      </w:r>
    </w:p>
    <w:p w14:paraId="13D6D24E" w14:textId="77777777" w:rsidR="00BF58E2" w:rsidRDefault="00BF58E2">
      <w:pPr>
        <w:pBdr>
          <w:bottom w:val="single" w:sz="6" w:space="1" w:color="2E6CA4"/>
        </w:pBdr>
        <w:spacing w:before="160" w:after="160"/>
      </w:pPr>
    </w:p>
    <w:p w14:paraId="334EC38B" w14:textId="77777777" w:rsidR="00BF58E2" w:rsidRDefault="00000000">
      <w:pPr>
        <w:pStyle w:val="Heading2"/>
      </w:pPr>
      <w:r>
        <w:t>¿Qué es?</w:t>
      </w:r>
    </w:p>
    <w:p w14:paraId="6FB070BA" w14:textId="77777777" w:rsidR="00BF58E2" w:rsidRDefault="00000000">
      <w:pPr>
        <w:spacing w:before="60" w:after="60"/>
      </w:pPr>
      <w:r>
        <w:t>Las Obligaciones Negociables (ON) son instrumentos de deuda emitidos por empresas privadas (corporaciones) bajo la Ley de Obligaciones Negociables, que pagan intereses y devuelven capital en condiciones predefinidas en el prospecto de emisión. A diferencia de las acciones, al comprar una ON el inversor se convierte en acreedor de la empresa, no en accionista.</w:t>
      </w:r>
    </w:p>
    <w:p w14:paraId="5EE1897A" w14:textId="77777777" w:rsidR="00BF58E2" w:rsidRDefault="00000000">
      <w:pPr>
        <w:spacing w:before="60" w:after="60"/>
      </w:pPr>
      <w:r>
        <w:t>Sectores frecuentes: energía (YPF, Pampa Energía, Genneia), agropecuario, telecomunicaciones, bienes raíces, bancos.</w:t>
      </w:r>
    </w:p>
    <w:p w14:paraId="0D63FB8B" w14:textId="77777777" w:rsidR="00BF58E2" w:rsidRDefault="00000000">
      <w:pPr>
        <w:spacing w:before="60" w:after="60"/>
      </w:pPr>
      <w:r>
        <w:t>Tipos de ON según moneda:</w:t>
      </w:r>
    </w:p>
    <w:p w14:paraId="4FB5BE64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Hard Dollar: </w:t>
      </w:r>
      <w:r>
        <w:t>Hard Dollar: las más buscadas. Pagaderas en dólares estadounidenses directamente en la cuenta. Ofrecen rendimientos históricamente entre 6%-10% anual en USD.</w:t>
      </w:r>
    </w:p>
    <w:p w14:paraId="0A55D354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Dólar Linked: </w:t>
      </w:r>
      <w:r>
        <w:t>Dólar Linked: emitidas en pesos ajustadas al TC oficial. Usadas por empresas con ingresos en pesos y costos en dólares.</w:t>
      </w:r>
    </w:p>
    <w:p w14:paraId="1998FE8E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CER/UVA: </w:t>
      </w:r>
      <w:r>
        <w:t>CER/UVA: ajustadas por inflación, en pesos reales.</w:t>
      </w:r>
    </w:p>
    <w:p w14:paraId="1D6A5A8A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Pesos: </w:t>
      </w:r>
      <w:r>
        <w:t>Pesos nominales: tasa fija o variable (ej. Badlar + spread).</w:t>
      </w:r>
    </w:p>
    <w:p w14:paraId="14202884" w14:textId="77777777" w:rsidR="00BF58E2" w:rsidRDefault="00BF58E2">
      <w:pPr>
        <w:spacing w:before="80" w:after="80"/>
      </w:pPr>
    </w:p>
    <w:p w14:paraId="30BF1543" w14:textId="77777777" w:rsidR="00BF58E2" w:rsidRDefault="00000000">
      <w:pPr>
        <w:pStyle w:val="Heading2"/>
      </w:pPr>
      <w:r>
        <w:t>¿Cómo funciona el flujo de dinero?</w:t>
      </w:r>
    </w:p>
    <w:p w14:paraId="2D9F85DB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Entrada: </w:t>
      </w:r>
      <w:r>
        <w:t>Entrada: comprás en el mercado primario (licitación directa de la empresa) o en el secundario (BYMA/MAE) pagando un precio por valor nominal.</w:t>
      </w:r>
    </w:p>
    <w:p w14:paraId="5BDEE638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Rendimiento: </w:t>
      </w:r>
      <w:r>
        <w:t>Rendimiento: cupones de interés periódicos (trimestrales/semestrales) + amortización de capital según el esquema: cuotas parciales o "bullet" (todo al vencimiento).</w:t>
      </w:r>
    </w:p>
    <w:p w14:paraId="1132CD03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Salida anticipada: </w:t>
      </w:r>
      <w:r>
        <w:t>Salida anticipada: vendés en el mercado secundario antes del vencimiento al precio de mercado vigente.</w:t>
      </w:r>
    </w:p>
    <w:p w14:paraId="64EF9752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Salida natural: </w:t>
      </w:r>
      <w:r>
        <w:t>Salida natural: cobrás todos los cupones + la amortización final en la moneda del prospecto.</w:t>
      </w:r>
    </w:p>
    <w:p w14:paraId="568D1D93" w14:textId="77777777" w:rsidR="00BF58E2" w:rsidRDefault="00BF58E2">
      <w:pPr>
        <w:spacing w:before="80" w:after="80"/>
      </w:pPr>
    </w:p>
    <w:p w14:paraId="7EB462BF" w14:textId="77777777" w:rsidR="00BF58E2" w:rsidRDefault="00000000">
      <w:pPr>
        <w:pStyle w:val="Heading2"/>
      </w:pPr>
      <w:r>
        <w:t>Moneda de exposición al riesgo</w:t>
      </w:r>
    </w:p>
    <w:p w14:paraId="693D2B20" w14:textId="77777777" w:rsidR="00BF58E2" w:rsidRDefault="00000000">
      <w:pPr>
        <w:spacing w:before="60" w:after="60"/>
      </w:pPr>
      <w:r>
        <w:t>Depende de la moneda de denominación del título. Las Hard Dollar acreditan dólares billete reales en la cuenta comitente, ofreciendo la dolarización más directa del portafolio.</w:t>
      </w:r>
    </w:p>
    <w:p w14:paraId="6AAC607C" w14:textId="77777777" w:rsidR="00BF58E2" w:rsidRDefault="00000000">
      <w:pPr>
        <w:spacing w:before="60" w:after="60"/>
      </w:pPr>
      <w:r>
        <w:lastRenderedPageBreak/>
        <w:t>Importante: aunque la empresa sea solvente, el riesgo normativo puede impedirle acceder al MULC para comprar los dólares necesarios para pagar sus ON Hard Dollar. Este riesgo ha llevado a reestructuraciones de empresas rentables en pesos.</w:t>
      </w:r>
    </w:p>
    <w:p w14:paraId="71FE6A88" w14:textId="77777777" w:rsidR="00BF58E2" w:rsidRDefault="00BF58E2">
      <w:pPr>
        <w:spacing w:before="80" w:after="80"/>
      </w:pPr>
    </w:p>
    <w:p w14:paraId="4849DC6A" w14:textId="77777777" w:rsidR="00BF58E2" w:rsidRDefault="00000000">
      <w:pPr>
        <w:pStyle w:val="Heading2"/>
      </w:pPr>
      <w:r>
        <w:t>Principales riesgos estructurales</w:t>
      </w:r>
    </w:p>
    <w:p w14:paraId="5499B5D5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de crédito: </w:t>
      </w:r>
      <w:r>
        <w:t>Riesgo de crédito corporativo: la empresa puede incumplir por problemas operativos, sectoriales o macroeconómicos. Las empresas no pueden emitir moneda para cubrir déficits (a diferencia del Estado).</w:t>
      </w:r>
    </w:p>
    <w:p w14:paraId="27E198BA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acceso MULC: </w:t>
      </w:r>
      <w:r>
        <w:t>Riesgo cambiario/normativo (Hard Dollar): el BCRA puede bloquear el acceso al MULC para pagar obligaciones en moneda extranjera, forzando reestructuraciones.</w:t>
      </w:r>
    </w:p>
    <w:p w14:paraId="14ACE413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sectorial: </w:t>
      </w:r>
      <w:r>
        <w:t>Riesgo sectorial: vinculado al sector de la empresa emisora.</w:t>
      </w:r>
    </w:p>
    <w:p w14:paraId="47B671D6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de tasa: </w:t>
      </w:r>
      <w:r>
        <w:t>Riesgo de tasa: cambios en tasas de mercado afectan el precio en el secundario.</w:t>
      </w:r>
    </w:p>
    <w:p w14:paraId="3D39FCC7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de liquidez: </w:t>
      </w:r>
      <w:r>
        <w:t>Riesgo de liquidez: ciertas ON corporativas tienen volúmenes escuálidos. Si necesitás vender rápido, podrías liquidar con pérdida o no encontrar comprador.</w:t>
      </w:r>
    </w:p>
    <w:p w14:paraId="74A3368E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legal: </w:t>
      </w:r>
      <w:r>
        <w:t>Riesgo de jurisdicción: ON bajo ley extranjera ofrecen mayor protección al tenedor que las emitidas bajo ley local.</w:t>
      </w:r>
    </w:p>
    <w:p w14:paraId="3470E4BE" w14:textId="77777777" w:rsidR="00BF58E2" w:rsidRDefault="00BF58E2">
      <w:pPr>
        <w:spacing w:before="80" w:after="80"/>
      </w:pPr>
    </w:p>
    <w:p w14:paraId="6A0409F0" w14:textId="77777777" w:rsidR="00BF58E2" w:rsidRDefault="00000000">
      <w:pPr>
        <w:pStyle w:val="Heading2"/>
      </w:pPr>
      <w:r>
        <w:t>Horizonte recomendado</w:t>
      </w:r>
    </w:p>
    <w:p w14:paraId="37FE2FE1" w14:textId="77777777" w:rsidR="00BF58E2" w:rsidRDefault="00000000">
      <w:pPr>
        <w:spacing w:before="60" w:after="60"/>
      </w:pPr>
      <w:r>
        <w:t>Mediano plazo (1-4 años), alineado con la vida remanente de la ON. La predictibilidad del cashflow y el calendario de repago definen el horizonte.</w:t>
      </w:r>
    </w:p>
    <w:p w14:paraId="2D7F8F99" w14:textId="77777777" w:rsidR="00BF58E2" w:rsidRDefault="00BF58E2">
      <w:pPr>
        <w:spacing w:before="80" w:after="80"/>
      </w:pPr>
    </w:p>
    <w:p w14:paraId="11B4B7A7" w14:textId="77777777" w:rsidR="00BF58E2" w:rsidRDefault="00000000">
      <w:pPr>
        <w:pStyle w:val="Heading2"/>
      </w:pPr>
      <w:r>
        <w:t>Ticket mínimo y accesibilidad</w:t>
      </w:r>
    </w:p>
    <w:p w14:paraId="5CF637B1" w14:textId="77777777" w:rsidR="00BF58E2" w:rsidRDefault="00000000">
      <w:pPr>
        <w:spacing w:before="60" w:after="60"/>
      </w:pPr>
      <w:r>
        <w:t>Muy accesible. Las emisiones modernas configuran láminas mínimas de negociación en el secundario desde USD 1, y suscripción primaria desde USD 100. Esto hace al instrumento altamente fraccionable para portafolios de USD 1.000-2.000.</w:t>
      </w:r>
    </w:p>
    <w:p w14:paraId="6CC359B7" w14:textId="77777777" w:rsidR="00BF58E2" w:rsidRDefault="00000000">
      <w:pPr>
        <w:spacing w:before="60" w:after="60"/>
      </w:pPr>
      <w:r>
        <w:t>Históricamente algunas ON bajo ley extranjera exigían mínimos de USD 1.000 o más. La tendencia actual es hacia la democratización.</w:t>
      </w:r>
    </w:p>
    <w:p w14:paraId="1D55A836" w14:textId="77777777" w:rsidR="00BF58E2" w:rsidRDefault="00BF58E2">
      <w:pPr>
        <w:spacing w:before="80" w:after="80"/>
      </w:pPr>
    </w:p>
    <w:p w14:paraId="7A22D44A" w14:textId="77777777" w:rsidR="00BF58E2" w:rsidRDefault="00000000">
      <w:pPr>
        <w:pStyle w:val="Heading2"/>
      </w:pPr>
      <w:r>
        <w:t>¿Cuándo tiene sentido usarlas?</w:t>
      </w:r>
    </w:p>
    <w:p w14:paraId="25370F53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t>Para generar renta fija periódica en dólares (Hard Dollar), desligando el portafolio del riesgo soberano directo.</w:t>
      </w:r>
    </w:p>
    <w:p w14:paraId="4C53A0F8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t>Para diversificar respecto de bonos soberanos, apostando a la solvencia de empresas privadas exportadoras o con ingresos resilientes.</w:t>
      </w:r>
    </w:p>
    <w:p w14:paraId="3F531E50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t>Como fuente de cashflow predecible en moneda dura para cubrir compromisos futuros en divisas.</w:t>
      </w:r>
    </w:p>
    <w:p w14:paraId="72BEC331" w14:textId="77777777" w:rsidR="00BF58E2" w:rsidRDefault="00BF58E2">
      <w:pPr>
        <w:spacing w:before="80" w:after="80"/>
      </w:pPr>
    </w:p>
    <w:p w14:paraId="1B5330BB" w14:textId="77777777" w:rsidR="00BF58E2" w:rsidRDefault="00000000">
      <w:pPr>
        <w:pStyle w:val="Heading2"/>
      </w:pPr>
      <w:r>
        <w:lastRenderedPageBreak/>
        <w:t>Dónde ver información actualizada</w:t>
      </w:r>
    </w:p>
    <w:p w14:paraId="6181280F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BYMA Data: </w:t>
      </w:r>
      <w:r>
        <w:t>BYMA Data – Renta Fija Privada: precios, volúmenes y curva de ON corporativas en tiempo real.</w:t>
      </w:r>
    </w:p>
    <w:p w14:paraId="32EAB525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CNV: </w:t>
      </w:r>
      <w:r>
        <w:t>CNV (cnv.gov.ar): buscador de emisoras con prospectos de emisión, suplementos, balances y hechos relevantes.</w:t>
      </w:r>
    </w:p>
    <w:p w14:paraId="71342348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Brokers: </w:t>
      </w:r>
      <w:r>
        <w:t>Brokers: calculadoras de flujos proyectados, TIR, cronograma de amortizaciones, detalle de jurisdicción y rating.</w:t>
      </w:r>
    </w:p>
    <w:p w14:paraId="783A6EFF" w14:textId="77777777" w:rsidR="00BF58E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MAE: </w:t>
      </w:r>
      <w:r>
        <w:t>MAE: referencias mayoristas de precios y volúmenes.</w:t>
      </w:r>
    </w:p>
    <w:p w14:paraId="74C137C7" w14:textId="77777777" w:rsidR="00BF58E2" w:rsidRDefault="00BF58E2">
      <w:pPr>
        <w:spacing w:before="80" w:after="80"/>
      </w:pPr>
    </w:p>
    <w:p w14:paraId="3385B2F9" w14:textId="77777777" w:rsidR="00BF58E2" w:rsidRDefault="00BF58E2">
      <w:pPr>
        <w:pBdr>
          <w:bottom w:val="single" w:sz="6" w:space="1" w:color="2E6CA4"/>
        </w:pBdr>
        <w:spacing w:before="160" w:after="160"/>
      </w:pPr>
    </w:p>
    <w:p w14:paraId="2B2FC0AB" w14:textId="77777777" w:rsidR="00BF58E2" w:rsidRDefault="00000000">
      <w:pPr>
        <w:pStyle w:val="Heading2"/>
      </w:pPr>
      <w:r>
        <w:t>📊 Tabla resumen de atributos</w:t>
      </w:r>
    </w:p>
    <w:p w14:paraId="61FF1B2A" w14:textId="77777777" w:rsidR="00BF58E2" w:rsidRDefault="00BF58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F58E2" w14:paraId="27AECA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F932" w14:textId="77777777" w:rsidR="00BF58E2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C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ABF6" w14:textId="77777777" w:rsidR="00BF58E2" w:rsidRDefault="00000000">
            <w:r>
              <w:rPr>
                <w:color w:val="FFFFFF"/>
                <w:sz w:val="20"/>
                <w:szCs w:val="20"/>
              </w:rPr>
              <w:t>Valor</w:t>
            </w:r>
          </w:p>
        </w:tc>
      </w:tr>
      <w:tr w:rsidR="00BF58E2" w14:paraId="275511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D5E0" w14:textId="77777777" w:rsidR="00BF58E2" w:rsidRDefault="00000000">
            <w:r>
              <w:rPr>
                <w:b/>
                <w:bCs/>
                <w:color w:val="1F3864"/>
                <w:sz w:val="20"/>
                <w:szCs w:val="20"/>
              </w:rPr>
              <w:t>Tipo de instrumento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DB34" w14:textId="77777777" w:rsidR="00BF58E2" w:rsidRDefault="00000000">
            <w:r>
              <w:rPr>
                <w:color w:val="333333"/>
                <w:sz w:val="20"/>
                <w:szCs w:val="20"/>
              </w:rPr>
              <w:t>Renta Fija Corporativa (deuda privada)</w:t>
            </w:r>
          </w:p>
        </w:tc>
      </w:tr>
      <w:tr w:rsidR="00BF58E2" w14:paraId="3FA4BA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1911" w14:textId="77777777" w:rsidR="00BF58E2" w:rsidRDefault="00000000">
            <w:r>
              <w:rPr>
                <w:b/>
                <w:bCs/>
                <w:color w:val="1F3864"/>
                <w:sz w:val="20"/>
                <w:szCs w:val="20"/>
              </w:rPr>
              <w:t>Moneda de cotización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431F" w14:textId="77777777" w:rsidR="00BF58E2" w:rsidRDefault="00000000">
            <w:r>
              <w:rPr>
                <w:color w:val="333333"/>
                <w:sz w:val="20"/>
                <w:szCs w:val="20"/>
              </w:rPr>
              <w:t>Pesos / Dólares hard dollar / CER / Dólar Linked</w:t>
            </w:r>
          </w:p>
        </w:tc>
      </w:tr>
      <w:tr w:rsidR="00BF58E2" w14:paraId="50B0BF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8495" w14:textId="77777777" w:rsidR="00BF58E2" w:rsidRDefault="00000000">
            <w:r>
              <w:rPr>
                <w:b/>
                <w:bCs/>
                <w:color w:val="1F3864"/>
                <w:sz w:val="20"/>
                <w:szCs w:val="20"/>
              </w:rPr>
              <w:t>Exposición económica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0B6B" w14:textId="77777777" w:rsidR="00BF58E2" w:rsidRDefault="00000000">
            <w:r>
              <w:rPr>
                <w:color w:val="333333"/>
                <w:sz w:val="20"/>
                <w:szCs w:val="20"/>
              </w:rPr>
              <w:t>Según moneda de denominación del título</w:t>
            </w:r>
          </w:p>
        </w:tc>
      </w:tr>
      <w:tr w:rsidR="00BF58E2" w14:paraId="51A398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CF81" w14:textId="77777777" w:rsidR="00BF58E2" w:rsidRDefault="00000000">
            <w:r>
              <w:rPr>
                <w:b/>
                <w:bCs/>
                <w:color w:val="1F3864"/>
                <w:sz w:val="20"/>
                <w:szCs w:val="20"/>
              </w:rPr>
              <w:t>Genera renta periódica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586A" w14:textId="77777777" w:rsidR="00BF58E2" w:rsidRDefault="00000000">
            <w:r>
              <w:rPr>
                <w:color w:val="333333"/>
                <w:sz w:val="20"/>
                <w:szCs w:val="20"/>
              </w:rPr>
              <w:t>Sí (cupones trimestrales o semestrales)</w:t>
            </w:r>
          </w:p>
        </w:tc>
      </w:tr>
      <w:tr w:rsidR="00BF58E2" w14:paraId="493E2C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DCC3" w14:textId="77777777" w:rsidR="00BF58E2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inflación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EAF9" w14:textId="77777777" w:rsidR="00BF58E2" w:rsidRDefault="00000000">
            <w:r>
              <w:rPr>
                <w:color w:val="333333"/>
                <w:sz w:val="20"/>
                <w:szCs w:val="20"/>
              </w:rPr>
              <w:t>Depende del tipo (Hard Dollar o CER)</w:t>
            </w:r>
          </w:p>
        </w:tc>
      </w:tr>
      <w:tr w:rsidR="00BF58E2" w14:paraId="0405FA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303E" w14:textId="77777777" w:rsidR="00BF58E2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dólar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BFAC" w14:textId="77777777" w:rsidR="00BF58E2" w:rsidRDefault="00000000">
            <w:r>
              <w:rPr>
                <w:color w:val="333333"/>
                <w:sz w:val="20"/>
                <w:szCs w:val="20"/>
              </w:rPr>
              <w:t>Sí (Hard Dollar): acceso a dólares billete directos</w:t>
            </w:r>
          </w:p>
        </w:tc>
      </w:tr>
      <w:tr w:rsidR="00BF58E2" w14:paraId="46516D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2A791" w14:textId="77777777" w:rsidR="00BF58E2" w:rsidRDefault="00000000">
            <w:r>
              <w:rPr>
                <w:b/>
                <w:bCs/>
                <w:color w:val="1F3864"/>
                <w:sz w:val="20"/>
                <w:szCs w:val="20"/>
              </w:rPr>
              <w:t>Horizonte recomendado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4881" w14:textId="77777777" w:rsidR="00BF58E2" w:rsidRDefault="00000000">
            <w:r>
              <w:rPr>
                <w:color w:val="333333"/>
                <w:sz w:val="20"/>
                <w:szCs w:val="20"/>
              </w:rPr>
              <w:t>Mediano plazo (1-4 años)</w:t>
            </w:r>
          </w:p>
        </w:tc>
      </w:tr>
      <w:tr w:rsidR="00BF58E2" w14:paraId="7390F3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6257" w14:textId="77777777" w:rsidR="00BF58E2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mínimo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7B46" w14:textId="77777777" w:rsidR="00BF58E2" w:rsidRDefault="00000000">
            <w:r>
              <w:rPr>
                <w:color w:val="333333"/>
                <w:sz w:val="20"/>
                <w:szCs w:val="20"/>
              </w:rPr>
              <w:t>Desde USD 1 en el secundario / USD 100 en primario</w:t>
            </w:r>
          </w:p>
        </w:tc>
      </w:tr>
      <w:tr w:rsidR="00BF58E2" w14:paraId="207231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368E" w14:textId="77777777" w:rsidR="00BF58E2" w:rsidRDefault="00000000">
            <w:r>
              <w:rPr>
                <w:b/>
                <w:bCs/>
                <w:color w:val="1F3864"/>
                <w:sz w:val="20"/>
                <w:szCs w:val="20"/>
              </w:rPr>
              <w:t>Rendimiento histórico (Hard Dollar)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A8F3" w14:textId="77777777" w:rsidR="00BF58E2" w:rsidRDefault="00000000">
            <w:r>
              <w:rPr>
                <w:color w:val="333333"/>
                <w:sz w:val="20"/>
                <w:szCs w:val="20"/>
              </w:rPr>
              <w:t>6%-10% anual en USD (referencial, varía)</w:t>
            </w:r>
          </w:p>
        </w:tc>
      </w:tr>
      <w:tr w:rsidR="00BF58E2" w14:paraId="41FD0E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3B41" w14:textId="77777777" w:rsidR="00BF58E2" w:rsidRDefault="00000000">
            <w:r>
              <w:rPr>
                <w:b/>
                <w:bCs/>
                <w:color w:val="1F3864"/>
                <w:sz w:val="20"/>
                <w:szCs w:val="20"/>
              </w:rPr>
              <w:t>Mercados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23E7" w14:textId="77777777" w:rsidR="00BF58E2" w:rsidRDefault="00000000">
            <w:r>
              <w:rPr>
                <w:color w:val="333333"/>
                <w:sz w:val="20"/>
                <w:szCs w:val="20"/>
              </w:rPr>
              <w:t>BYMA / MAE</w:t>
            </w:r>
          </w:p>
        </w:tc>
      </w:tr>
      <w:tr w:rsidR="00BF58E2" w14:paraId="1827DF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D0FC" w14:textId="77777777" w:rsidR="00BF58E2" w:rsidRDefault="00000000">
            <w:r>
              <w:rPr>
                <w:b/>
                <w:bCs/>
                <w:color w:val="1F3864"/>
                <w:sz w:val="20"/>
                <w:szCs w:val="20"/>
              </w:rPr>
              <w:t>Marco legal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1B8E" w14:textId="77777777" w:rsidR="00BF58E2" w:rsidRDefault="00000000">
            <w:r>
              <w:rPr>
                <w:color w:val="333333"/>
                <w:sz w:val="20"/>
                <w:szCs w:val="20"/>
              </w:rPr>
              <w:t>Ley de Obligaciones Negociables (Ley 23.576 y modificatorias)</w:t>
            </w:r>
          </w:p>
        </w:tc>
      </w:tr>
    </w:tbl>
    <w:p w14:paraId="4CB2D4A0" w14:textId="77777777" w:rsidR="00BF58E2" w:rsidRDefault="00BF58E2">
      <w:pPr>
        <w:spacing w:before="80" w:after="80"/>
      </w:pPr>
    </w:p>
    <w:p w14:paraId="0393E648" w14:textId="77777777" w:rsidR="00BF58E2" w:rsidRDefault="00BF58E2">
      <w:pPr>
        <w:pBdr>
          <w:bottom w:val="single" w:sz="6" w:space="1" w:color="2E6CA4"/>
        </w:pBdr>
        <w:spacing w:before="160" w:after="160"/>
      </w:pPr>
    </w:p>
    <w:sectPr w:rsidR="00BF58E2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D54FD8" w14:textId="77777777" w:rsidR="00A2745B" w:rsidRDefault="00A2745B">
      <w:r>
        <w:separator/>
      </w:r>
    </w:p>
  </w:endnote>
  <w:endnote w:type="continuationSeparator" w:id="0">
    <w:p w14:paraId="1A291AFA" w14:textId="77777777" w:rsidR="00A2745B" w:rsidRDefault="00A27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828086" w14:textId="77777777" w:rsidR="00BF58E2" w:rsidRDefault="00000000">
    <w:pPr>
      <w:jc w:val="right"/>
    </w:pPr>
    <w:r>
      <w:rPr>
        <w:color w:val="888888"/>
        <w:sz w:val="18"/>
        <w:szCs w:val="18"/>
      </w:rPr>
      <w:t xml:space="preserve">Wiki de Inversiones · Obligaciones Negociables (ON) Corporativas ·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22FF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226943" w14:textId="77777777" w:rsidR="00A2745B" w:rsidRDefault="00A2745B">
      <w:r>
        <w:separator/>
      </w:r>
    </w:p>
  </w:footnote>
  <w:footnote w:type="continuationSeparator" w:id="0">
    <w:p w14:paraId="743C0196" w14:textId="77777777" w:rsidR="00A2745B" w:rsidRDefault="00A274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C571A1"/>
    <w:multiLevelType w:val="hybridMultilevel"/>
    <w:tmpl w:val="0AB4E3A4"/>
    <w:lvl w:ilvl="0" w:tplc="867830B0">
      <w:start w:val="1"/>
      <w:numFmt w:val="bullet"/>
      <w:lvlText w:val="●"/>
      <w:lvlJc w:val="left"/>
      <w:pPr>
        <w:ind w:left="720" w:hanging="360"/>
      </w:pPr>
    </w:lvl>
    <w:lvl w:ilvl="1" w:tplc="340C07CA">
      <w:start w:val="1"/>
      <w:numFmt w:val="bullet"/>
      <w:lvlText w:val="○"/>
      <w:lvlJc w:val="left"/>
      <w:pPr>
        <w:ind w:left="1440" w:hanging="360"/>
      </w:pPr>
    </w:lvl>
    <w:lvl w:ilvl="2" w:tplc="217627C6">
      <w:start w:val="1"/>
      <w:numFmt w:val="bullet"/>
      <w:lvlText w:val="■"/>
      <w:lvlJc w:val="left"/>
      <w:pPr>
        <w:ind w:left="2160" w:hanging="360"/>
      </w:pPr>
    </w:lvl>
    <w:lvl w:ilvl="3" w:tplc="4AD6863C">
      <w:start w:val="1"/>
      <w:numFmt w:val="bullet"/>
      <w:lvlText w:val="●"/>
      <w:lvlJc w:val="left"/>
      <w:pPr>
        <w:ind w:left="2880" w:hanging="360"/>
      </w:pPr>
    </w:lvl>
    <w:lvl w:ilvl="4" w:tplc="0CE631EC">
      <w:start w:val="1"/>
      <w:numFmt w:val="bullet"/>
      <w:lvlText w:val="○"/>
      <w:lvlJc w:val="left"/>
      <w:pPr>
        <w:ind w:left="3600" w:hanging="360"/>
      </w:pPr>
    </w:lvl>
    <w:lvl w:ilvl="5" w:tplc="AA006658">
      <w:start w:val="1"/>
      <w:numFmt w:val="bullet"/>
      <w:lvlText w:val="■"/>
      <w:lvlJc w:val="left"/>
      <w:pPr>
        <w:ind w:left="4320" w:hanging="360"/>
      </w:pPr>
    </w:lvl>
    <w:lvl w:ilvl="6" w:tplc="C584EFC4">
      <w:start w:val="1"/>
      <w:numFmt w:val="bullet"/>
      <w:lvlText w:val="●"/>
      <w:lvlJc w:val="left"/>
      <w:pPr>
        <w:ind w:left="5040" w:hanging="360"/>
      </w:pPr>
    </w:lvl>
    <w:lvl w:ilvl="7" w:tplc="E00E27DC">
      <w:start w:val="1"/>
      <w:numFmt w:val="bullet"/>
      <w:lvlText w:val="●"/>
      <w:lvlJc w:val="left"/>
      <w:pPr>
        <w:ind w:left="5760" w:hanging="360"/>
      </w:pPr>
    </w:lvl>
    <w:lvl w:ilvl="8" w:tplc="69AC6F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D65510"/>
    <w:multiLevelType w:val="hybridMultilevel"/>
    <w:tmpl w:val="2D8A9242"/>
    <w:lvl w:ilvl="0" w:tplc="92E6F9D8">
      <w:start w:val="1"/>
      <w:numFmt w:val="bullet"/>
      <w:lvlText w:val="•"/>
      <w:lvlJc w:val="left"/>
      <w:pPr>
        <w:ind w:left="720" w:hanging="360"/>
      </w:pPr>
    </w:lvl>
    <w:lvl w:ilvl="1" w:tplc="69DE0492">
      <w:numFmt w:val="decimal"/>
      <w:lvlText w:val=""/>
      <w:lvlJc w:val="left"/>
    </w:lvl>
    <w:lvl w:ilvl="2" w:tplc="CC766E32">
      <w:numFmt w:val="decimal"/>
      <w:lvlText w:val=""/>
      <w:lvlJc w:val="left"/>
    </w:lvl>
    <w:lvl w:ilvl="3" w:tplc="F5BCF26C">
      <w:numFmt w:val="decimal"/>
      <w:lvlText w:val=""/>
      <w:lvlJc w:val="left"/>
    </w:lvl>
    <w:lvl w:ilvl="4" w:tplc="C4C2CD22">
      <w:numFmt w:val="decimal"/>
      <w:lvlText w:val=""/>
      <w:lvlJc w:val="left"/>
    </w:lvl>
    <w:lvl w:ilvl="5" w:tplc="1B2E0F88">
      <w:numFmt w:val="decimal"/>
      <w:lvlText w:val=""/>
      <w:lvlJc w:val="left"/>
    </w:lvl>
    <w:lvl w:ilvl="6" w:tplc="29006D4C">
      <w:numFmt w:val="decimal"/>
      <w:lvlText w:val=""/>
      <w:lvlJc w:val="left"/>
    </w:lvl>
    <w:lvl w:ilvl="7" w:tplc="857E935E">
      <w:numFmt w:val="decimal"/>
      <w:lvlText w:val=""/>
      <w:lvlJc w:val="left"/>
    </w:lvl>
    <w:lvl w:ilvl="8" w:tplc="E4008320">
      <w:numFmt w:val="decimal"/>
      <w:lvlText w:val=""/>
      <w:lvlJc w:val="left"/>
    </w:lvl>
  </w:abstractNum>
  <w:num w:numId="1" w16cid:durableId="1418592540">
    <w:abstractNumId w:val="0"/>
    <w:lvlOverride w:ilvl="0">
      <w:startOverride w:val="1"/>
    </w:lvlOverride>
  </w:num>
  <w:num w:numId="2" w16cid:durableId="5676178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8E2"/>
    <w:rsid w:val="007F26D7"/>
    <w:rsid w:val="00A2745B"/>
    <w:rsid w:val="00B22FF1"/>
    <w:rsid w:val="00BF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5D8299"/>
  <w15:docId w15:val="{8A9C296A-FE98-AC4C-9C8A-6A3EC11E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C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750</Words>
  <Characters>4334</Characters>
  <Application>Microsoft Office Word</Application>
  <DocSecurity>0</DocSecurity>
  <Lines>117</Lines>
  <Paragraphs>77</Paragraphs>
  <ScaleCrop>false</ScaleCrop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Grasso</cp:lastModifiedBy>
  <cp:revision>2</cp:revision>
  <dcterms:created xsi:type="dcterms:W3CDTF">2026-06-23T14:44:00Z</dcterms:created>
  <dcterms:modified xsi:type="dcterms:W3CDTF">2026-07-12T19:32:00Z</dcterms:modified>
</cp:coreProperties>
</file>