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75B781" w14:textId="77777777" w:rsidR="007F19BE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>FCI Mixtos / Balanceados</w:t>
      </w:r>
    </w:p>
    <w:p w14:paraId="430DC43B" w14:textId="77777777" w:rsidR="007F19BE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Wiki de Inversiones · Mercado Argentino</w:t>
      </w:r>
    </w:p>
    <w:p w14:paraId="022DD94A" w14:textId="77777777" w:rsidR="007F19BE" w:rsidRDefault="007F19BE">
      <w:pPr>
        <w:pBdr>
          <w:bottom w:val="single" w:sz="6" w:space="1" w:color="2E6CA4"/>
        </w:pBdr>
        <w:spacing w:before="160" w:after="160"/>
      </w:pPr>
    </w:p>
    <w:p w14:paraId="33F594CB" w14:textId="77777777" w:rsidR="007F19BE" w:rsidRDefault="00000000">
      <w:pPr>
        <w:pStyle w:val="Heading2"/>
      </w:pPr>
      <w:r>
        <w:t>¿Qué es?</w:t>
      </w:r>
    </w:p>
    <w:p w14:paraId="6F5A1054" w14:textId="77777777" w:rsidR="007F19BE" w:rsidRDefault="00000000">
      <w:pPr>
        <w:spacing w:before="60" w:after="60"/>
      </w:pPr>
      <w:r>
        <w:t>Los FCI Mixtos o Balanceados combinan renta fija (bonos soberanos, ON corporativas) y renta variable (acciones locales, CEDEARs, ETF internacionales), buscando un equilibrio riesgo/retorno intermedio.</w:t>
      </w:r>
    </w:p>
    <w:p w14:paraId="6D315C86" w14:textId="77777777" w:rsidR="007F19BE" w:rsidRDefault="00000000">
      <w:pPr>
        <w:spacing w:before="60" w:after="60"/>
      </w:pPr>
      <w:r>
        <w:t>La Sociedad Gerente decide el asset allocation dentro del mandato del reglamento de gestión, pudiendo ajustar la ponderación entre renta fija y variable según el contexto de mercado.</w:t>
      </w:r>
    </w:p>
    <w:p w14:paraId="19B7842E" w14:textId="77777777" w:rsidR="007F19BE" w:rsidRDefault="00000000">
      <w:pPr>
        <w:spacing w:before="60" w:after="60"/>
      </w:pPr>
      <w:r>
        <w:t>La exposición final al dólar y a la inflación depende de la composición exacta: más CEDEARs = más exposición CCL; más bonos CER = más cobertura inflacionaria; más ON Hard Dollar = más dólares billete.</w:t>
      </w:r>
    </w:p>
    <w:p w14:paraId="3056AA29" w14:textId="77777777" w:rsidR="007F19BE" w:rsidRDefault="007F19BE">
      <w:pPr>
        <w:spacing w:before="80" w:after="80"/>
      </w:pPr>
    </w:p>
    <w:p w14:paraId="07CAAB62" w14:textId="77777777" w:rsidR="007F19BE" w:rsidRDefault="00000000">
      <w:pPr>
        <w:pStyle w:val="Heading2"/>
      </w:pPr>
      <w:r>
        <w:t>¿Cómo funciona el flujo de dinero?</w:t>
      </w:r>
    </w:p>
    <w:p w14:paraId="051D82D5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Suscripción: </w:t>
      </w:r>
      <w:r>
        <w:t>Suscripción: igual que cualquier FCI abierto. Aportás pesos y recibís cuotapartes.</w:t>
      </w:r>
    </w:p>
    <w:p w14:paraId="5830C9A5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Rendimiento: </w:t>
      </w:r>
      <w:r>
        <w:t>Rendimiento: apreciación del Valor de Cuotaparte por resultados combinados de los activos subyacentes. Más volátil que renta fija pura.</w:t>
      </w:r>
    </w:p>
    <w:p w14:paraId="62B4957B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Rescate: </w:t>
      </w:r>
      <w:r>
        <w:t>Rescate: generalmente T+2 (48 hs hábiles) por la presencia de activos de renta variable.</w:t>
      </w:r>
    </w:p>
    <w:p w14:paraId="44D78805" w14:textId="77777777" w:rsidR="007F19BE" w:rsidRDefault="007F19BE">
      <w:pPr>
        <w:spacing w:before="80" w:after="80"/>
      </w:pPr>
    </w:p>
    <w:p w14:paraId="1B89F6B8" w14:textId="77777777" w:rsidR="007F19BE" w:rsidRDefault="00000000">
      <w:pPr>
        <w:pStyle w:val="Heading2"/>
      </w:pPr>
      <w:r>
        <w:t>Moneda de exposición al riesgo</w:t>
      </w:r>
    </w:p>
    <w:p w14:paraId="16CAAE96" w14:textId="77777777" w:rsidR="007F19BE" w:rsidRDefault="00000000">
      <w:pPr>
        <w:spacing w:before="60" w:after="60"/>
      </w:pPr>
      <w:r>
        <w:t>Mixta. Más CEDEARs = más exposición al CCL. Más bonos Hard Dollar/ON = más dólares billete. Más bonos CER = más pesos reales. La ficha técnica del fondo muestra la composición actual.</w:t>
      </w:r>
    </w:p>
    <w:p w14:paraId="78987DBD" w14:textId="77777777" w:rsidR="007F19BE" w:rsidRDefault="007F19BE">
      <w:pPr>
        <w:spacing w:before="80" w:after="80"/>
      </w:pPr>
    </w:p>
    <w:p w14:paraId="0D1CC648" w14:textId="77777777" w:rsidR="007F19BE" w:rsidRDefault="00000000">
      <w:pPr>
        <w:pStyle w:val="Heading2"/>
      </w:pPr>
      <w:r>
        <w:t>Principales riesgos estructurales</w:t>
      </w:r>
    </w:p>
    <w:p w14:paraId="23EF6CFC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Volatilidad: </w:t>
      </w:r>
      <w:r>
        <w:t>Volatilidad de renta variable: la pata de acciones/CEDEARs amplifica la volatilidad total.</w:t>
      </w:r>
    </w:p>
    <w:p w14:paraId="3334B532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Mark-to-market: </w:t>
      </w:r>
      <w:r>
        <w:t>Mark-to-market: tanto los bonos como las acciones se valúan diariamente al precio de mercado.</w:t>
      </w:r>
    </w:p>
    <w:p w14:paraId="08181B1B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gestión: </w:t>
      </w:r>
      <w:r>
        <w:t>Riesgo de gestión: el asset allocation del gestor puede no ser óptimo para el contexto de mercado.</w:t>
      </w:r>
    </w:p>
    <w:p w14:paraId="1FD4896B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CCL: </w:t>
      </w:r>
      <w:r>
        <w:t>Exposición a shocks de dólares financieros por la pata de CEDEARs.</w:t>
      </w:r>
    </w:p>
    <w:p w14:paraId="37A88099" w14:textId="77777777" w:rsidR="007F19BE" w:rsidRDefault="007F19BE">
      <w:pPr>
        <w:spacing w:before="80" w:after="80"/>
      </w:pPr>
    </w:p>
    <w:p w14:paraId="565A464C" w14:textId="77777777" w:rsidR="007F19BE" w:rsidRDefault="00000000">
      <w:pPr>
        <w:pStyle w:val="Heading2"/>
      </w:pPr>
      <w:r>
        <w:lastRenderedPageBreak/>
        <w:t>Horizonte recomendado</w:t>
      </w:r>
    </w:p>
    <w:p w14:paraId="6047ADD8" w14:textId="77777777" w:rsidR="007F19BE" w:rsidRDefault="00000000">
      <w:pPr>
        <w:spacing w:before="60" w:after="60"/>
      </w:pPr>
      <w:r>
        <w:t>Mediano plazo (1-3 años o más). La pata de renta variable no está pensada para plazos de días o semanas. Se requiere paciencia para que el componente accionario rinda sus frutos.</w:t>
      </w:r>
    </w:p>
    <w:p w14:paraId="38E52850" w14:textId="77777777" w:rsidR="007F19BE" w:rsidRDefault="007F19BE">
      <w:pPr>
        <w:spacing w:before="80" w:after="80"/>
      </w:pPr>
    </w:p>
    <w:p w14:paraId="4A484DAB" w14:textId="77777777" w:rsidR="007F19BE" w:rsidRDefault="00000000">
      <w:pPr>
        <w:pStyle w:val="Heading2"/>
      </w:pPr>
      <w:r>
        <w:t>Ticket mínimo y accesibilidad</w:t>
      </w:r>
    </w:p>
    <w:p w14:paraId="52D87355" w14:textId="77777777" w:rsidR="007F19BE" w:rsidRDefault="00000000">
      <w:pPr>
        <w:spacing w:before="60" w:after="60"/>
      </w:pPr>
      <w:r>
        <w:t>Igual que otros FCI: mínimos bajos (desde ~$1.000 pesos), operables por homebanking o broker. La diversificación que ofrecen es virtualmente inalcanzable operando activos individuales con el mismo capital.</w:t>
      </w:r>
    </w:p>
    <w:p w14:paraId="54CD7864" w14:textId="77777777" w:rsidR="007F19BE" w:rsidRDefault="007F19BE">
      <w:pPr>
        <w:spacing w:before="80" w:after="80"/>
      </w:pPr>
    </w:p>
    <w:p w14:paraId="69907F79" w14:textId="77777777" w:rsidR="007F19BE" w:rsidRDefault="00000000">
      <w:pPr>
        <w:pStyle w:val="Heading2"/>
      </w:pPr>
      <w:r>
        <w:t>¿Cuándo tiene sentido usarlos?</w:t>
      </w:r>
    </w:p>
    <w:p w14:paraId="67773B6B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t>Cuando buscás una solución diversificada "llave en mano" y delegás el asset allocation al gestor.</w:t>
      </w:r>
    </w:p>
    <w:p w14:paraId="642F5860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t>Para exposición simultánea a cobertura cambiaria (vía CEDEARs) y renta fija, sin gestionar activos individualmente.</w:t>
      </w:r>
    </w:p>
    <w:p w14:paraId="075E5948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t>Para inversores con horizonte de mediano plazo que toleran algo de volatilidad a cambio de mayor potencial de retorno.</w:t>
      </w:r>
    </w:p>
    <w:p w14:paraId="4993E30B" w14:textId="77777777" w:rsidR="007F19BE" w:rsidRDefault="007F19BE">
      <w:pPr>
        <w:spacing w:before="80" w:after="80"/>
      </w:pPr>
    </w:p>
    <w:p w14:paraId="4979E633" w14:textId="77777777" w:rsidR="007F19BE" w:rsidRDefault="00000000">
      <w:pPr>
        <w:pStyle w:val="Heading2"/>
      </w:pPr>
      <w:r>
        <w:t>Dónde ver información actualizada</w:t>
      </w:r>
    </w:p>
    <w:p w14:paraId="64811E1F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CAFCI: </w:t>
      </w:r>
      <w:r>
        <w:t>CAFCI (cafci.org.ar/consulta-de-fondos.html): composición por clase de activo y moneda, evolución histórica de cuotaparte, comisiones.</w:t>
      </w:r>
    </w:p>
    <w:p w14:paraId="486D852B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CNV: </w:t>
      </w:r>
      <w:r>
        <w:t>CNV (cnv.gov.ar): registro de fondos autorizados, reglamentos de gestión.</w:t>
      </w:r>
    </w:p>
    <w:p w14:paraId="2C9AB0C4" w14:textId="77777777" w:rsidR="007F19B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Bancos/Brokers: </w:t>
      </w:r>
      <w:r>
        <w:t>Bancos y ALyCs: "Supermercado de Fondos" con fichas técnicas, ranking de rendimiento y filtros por perfil de riesgo.</w:t>
      </w:r>
    </w:p>
    <w:p w14:paraId="457C297E" w14:textId="77777777" w:rsidR="007F19BE" w:rsidRDefault="007F19BE">
      <w:pPr>
        <w:spacing w:before="80" w:after="80"/>
      </w:pPr>
    </w:p>
    <w:p w14:paraId="47509BE4" w14:textId="77777777" w:rsidR="007F19BE" w:rsidRDefault="007F19BE">
      <w:pPr>
        <w:pBdr>
          <w:bottom w:val="single" w:sz="6" w:space="1" w:color="2E6CA4"/>
        </w:pBdr>
        <w:spacing w:before="160" w:after="160"/>
      </w:pPr>
    </w:p>
    <w:p w14:paraId="7A7960DA" w14:textId="77777777" w:rsidR="007F19BE" w:rsidRDefault="00000000">
      <w:pPr>
        <w:pStyle w:val="Heading2"/>
      </w:pPr>
      <w:r>
        <w:t>📊 Tabla resumen de atributos</w:t>
      </w:r>
    </w:p>
    <w:p w14:paraId="1D858209" w14:textId="77777777" w:rsidR="007F19BE" w:rsidRDefault="007F19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7F19BE" w14:paraId="4F7F7B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49E5" w14:textId="77777777" w:rsidR="007F19BE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C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199A1" w14:textId="77777777" w:rsidR="007F19BE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7F19BE" w14:paraId="29FCB1E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FDD8" w14:textId="77777777" w:rsidR="007F19BE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instrumento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3F22" w14:textId="77777777" w:rsidR="007F19BE" w:rsidRDefault="00000000">
            <w:r>
              <w:rPr>
                <w:color w:val="333333"/>
                <w:sz w:val="20"/>
                <w:szCs w:val="20"/>
              </w:rPr>
              <w:t>Fondo Común de Inversión (Mixto/Balanceado)</w:t>
            </w:r>
          </w:p>
        </w:tc>
      </w:tr>
      <w:tr w:rsidR="007F19BE" w14:paraId="20A71E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1A762" w14:textId="77777777" w:rsidR="007F19BE" w:rsidRDefault="00000000">
            <w:r>
              <w:rPr>
                <w:b/>
                <w:bCs/>
                <w:color w:val="1F3864"/>
                <w:sz w:val="20"/>
                <w:szCs w:val="20"/>
              </w:rPr>
              <w:t>Moneda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4AD9" w14:textId="77777777" w:rsidR="007F19BE" w:rsidRDefault="00000000">
            <w:r>
              <w:rPr>
                <w:color w:val="333333"/>
                <w:sz w:val="20"/>
                <w:szCs w:val="20"/>
              </w:rPr>
              <w:t>Mezcla: pesos + exposición variable a USD vía CCL y Hard Dollar</w:t>
            </w:r>
          </w:p>
        </w:tc>
      </w:tr>
      <w:tr w:rsidR="007F19BE" w14:paraId="0E0321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8D3E8" w14:textId="77777777" w:rsidR="007F19BE" w:rsidRDefault="00000000">
            <w:r>
              <w:rPr>
                <w:b/>
                <w:bCs/>
                <w:color w:val="1F3864"/>
                <w:sz w:val="20"/>
                <w:szCs w:val="20"/>
              </w:rPr>
              <w:t>Plazo de rescate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3670" w14:textId="77777777" w:rsidR="007F19BE" w:rsidRDefault="00000000">
            <w:r>
              <w:rPr>
                <w:color w:val="333333"/>
                <w:sz w:val="20"/>
                <w:szCs w:val="20"/>
              </w:rPr>
              <w:t>T+2 (48 hs hábiles)</w:t>
            </w:r>
          </w:p>
        </w:tc>
      </w:tr>
      <w:tr w:rsidR="007F19BE" w14:paraId="4A9D51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A2A5" w14:textId="77777777" w:rsidR="007F19BE" w:rsidRDefault="00000000">
            <w:r>
              <w:rPr>
                <w:b/>
                <w:bCs/>
                <w:color w:val="1F3864"/>
                <w:sz w:val="20"/>
                <w:szCs w:val="20"/>
              </w:rPr>
              <w:t>Rendimiento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C6576" w14:textId="77777777" w:rsidR="007F19BE" w:rsidRDefault="00000000">
            <w:r>
              <w:rPr>
                <w:color w:val="333333"/>
                <w:sz w:val="20"/>
                <w:szCs w:val="20"/>
              </w:rPr>
              <w:t>Apreciación de cuotaparte por renta fija + renta variable</w:t>
            </w:r>
          </w:p>
        </w:tc>
      </w:tr>
      <w:tr w:rsidR="007F19BE" w14:paraId="4BE805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7D0B" w14:textId="77777777" w:rsidR="007F19BE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inflación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D9FF" w14:textId="77777777" w:rsidR="007F19BE" w:rsidRDefault="00000000">
            <w:r>
              <w:rPr>
                <w:color w:val="333333"/>
                <w:sz w:val="20"/>
                <w:szCs w:val="20"/>
              </w:rPr>
              <w:t>Parcial (según composición)</w:t>
            </w:r>
          </w:p>
        </w:tc>
      </w:tr>
      <w:tr w:rsidR="007F19BE" w14:paraId="4509EC5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748C" w14:textId="77777777" w:rsidR="007F19BE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dólar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EFA3" w14:textId="77777777" w:rsidR="007F19BE" w:rsidRDefault="00000000">
            <w:r>
              <w:rPr>
                <w:color w:val="333333"/>
                <w:sz w:val="20"/>
                <w:szCs w:val="20"/>
              </w:rPr>
              <w:t>Parcial (según % de CEDEARs y bonos Hard Dollar)</w:t>
            </w:r>
          </w:p>
        </w:tc>
      </w:tr>
      <w:tr w:rsidR="007F19BE" w14:paraId="596D922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EBA6" w14:textId="77777777" w:rsidR="007F19BE" w:rsidRDefault="00000000">
            <w:r>
              <w:rPr>
                <w:b/>
                <w:bCs/>
                <w:color w:val="1F3864"/>
                <w:sz w:val="20"/>
                <w:szCs w:val="20"/>
              </w:rPr>
              <w:t>Horizonte recomendado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068F" w14:textId="77777777" w:rsidR="007F19BE" w:rsidRDefault="00000000">
            <w:r>
              <w:rPr>
                <w:color w:val="333333"/>
                <w:sz w:val="20"/>
                <w:szCs w:val="20"/>
              </w:rPr>
              <w:t>Mediano plazo (1-3 años o más)</w:t>
            </w:r>
          </w:p>
        </w:tc>
      </w:tr>
      <w:tr w:rsidR="007F19BE" w14:paraId="08CF15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E070A" w14:textId="77777777" w:rsidR="007F19BE" w:rsidRDefault="00000000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Ticket mínimo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EF09" w14:textId="77777777" w:rsidR="007F19BE" w:rsidRDefault="00000000">
            <w:r>
              <w:rPr>
                <w:color w:val="333333"/>
                <w:sz w:val="20"/>
                <w:szCs w:val="20"/>
              </w:rPr>
              <w:t>Muy bajo (desde ~$1.000 pesos)</w:t>
            </w:r>
          </w:p>
        </w:tc>
      </w:tr>
      <w:tr w:rsidR="007F19BE" w14:paraId="27288D6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978A" w14:textId="77777777" w:rsidR="007F19BE" w:rsidRDefault="00000000">
            <w:r>
              <w:rPr>
                <w:b/>
                <w:bCs/>
                <w:color w:val="1F3864"/>
                <w:sz w:val="20"/>
                <w:szCs w:val="20"/>
              </w:rPr>
              <w:t>Volatilidad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466D" w14:textId="77777777" w:rsidR="007F19BE" w:rsidRDefault="00000000">
            <w:r>
              <w:rPr>
                <w:color w:val="333333"/>
                <w:sz w:val="20"/>
                <w:szCs w:val="20"/>
              </w:rPr>
              <w:t>Mayor que FCI Renta Fija, menor que FCI Renta Variable pura</w:t>
            </w:r>
          </w:p>
        </w:tc>
      </w:tr>
      <w:tr w:rsidR="007F19BE" w14:paraId="167CC3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7F09" w14:textId="77777777" w:rsidR="007F19BE" w:rsidRDefault="00000000">
            <w:r>
              <w:rPr>
                <w:b/>
                <w:bCs/>
                <w:color w:val="1F3864"/>
                <w:sz w:val="20"/>
                <w:szCs w:val="20"/>
              </w:rPr>
              <w:t>Regulador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5537" w14:textId="77777777" w:rsidR="007F19BE" w:rsidRDefault="00000000">
            <w:r>
              <w:rPr>
                <w:color w:val="333333"/>
                <w:sz w:val="20"/>
                <w:szCs w:val="20"/>
              </w:rPr>
              <w:t>CNV</w:t>
            </w:r>
          </w:p>
        </w:tc>
      </w:tr>
    </w:tbl>
    <w:p w14:paraId="4B60DE2B" w14:textId="77777777" w:rsidR="007F19BE" w:rsidRDefault="007F19BE">
      <w:pPr>
        <w:spacing w:before="80" w:after="80"/>
      </w:pPr>
    </w:p>
    <w:p w14:paraId="5E3807B6" w14:textId="77777777" w:rsidR="007F19BE" w:rsidRDefault="007F19BE">
      <w:pPr>
        <w:pBdr>
          <w:bottom w:val="single" w:sz="6" w:space="1" w:color="2E6CA4"/>
        </w:pBdr>
        <w:spacing w:before="160" w:after="160"/>
      </w:pPr>
    </w:p>
    <w:sectPr w:rsidR="007F19B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70E531" w14:textId="77777777" w:rsidR="002C7EDC" w:rsidRDefault="002C7EDC">
      <w:r>
        <w:separator/>
      </w:r>
    </w:p>
  </w:endnote>
  <w:endnote w:type="continuationSeparator" w:id="0">
    <w:p w14:paraId="3AAECEB3" w14:textId="77777777" w:rsidR="002C7EDC" w:rsidRDefault="002C7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24E766" w14:textId="77777777" w:rsidR="007F19BE" w:rsidRDefault="00000000">
    <w:pPr>
      <w:jc w:val="right"/>
    </w:pPr>
    <w:r>
      <w:rPr>
        <w:color w:val="888888"/>
        <w:sz w:val="18"/>
        <w:szCs w:val="18"/>
      </w:rPr>
      <w:t xml:space="preserve">Wiki de Inversiones · FCI Mixtos / Balanceados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A2BF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2CCE95" w14:textId="77777777" w:rsidR="002C7EDC" w:rsidRDefault="002C7EDC">
      <w:r>
        <w:separator/>
      </w:r>
    </w:p>
  </w:footnote>
  <w:footnote w:type="continuationSeparator" w:id="0">
    <w:p w14:paraId="3408D689" w14:textId="77777777" w:rsidR="002C7EDC" w:rsidRDefault="002C7E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FD40AC0"/>
    <w:multiLevelType w:val="hybridMultilevel"/>
    <w:tmpl w:val="24380206"/>
    <w:lvl w:ilvl="0" w:tplc="010458F0">
      <w:start w:val="1"/>
      <w:numFmt w:val="bullet"/>
      <w:lvlText w:val="•"/>
      <w:lvlJc w:val="left"/>
      <w:pPr>
        <w:ind w:left="720" w:hanging="360"/>
      </w:pPr>
    </w:lvl>
    <w:lvl w:ilvl="1" w:tplc="7F0C561C">
      <w:numFmt w:val="decimal"/>
      <w:lvlText w:val=""/>
      <w:lvlJc w:val="left"/>
    </w:lvl>
    <w:lvl w:ilvl="2" w:tplc="088ADAF8">
      <w:numFmt w:val="decimal"/>
      <w:lvlText w:val=""/>
      <w:lvlJc w:val="left"/>
    </w:lvl>
    <w:lvl w:ilvl="3" w:tplc="E59AC87A">
      <w:numFmt w:val="decimal"/>
      <w:lvlText w:val=""/>
      <w:lvlJc w:val="left"/>
    </w:lvl>
    <w:lvl w:ilvl="4" w:tplc="87D805C0">
      <w:numFmt w:val="decimal"/>
      <w:lvlText w:val=""/>
      <w:lvlJc w:val="left"/>
    </w:lvl>
    <w:lvl w:ilvl="5" w:tplc="121AB012">
      <w:numFmt w:val="decimal"/>
      <w:lvlText w:val=""/>
      <w:lvlJc w:val="left"/>
    </w:lvl>
    <w:lvl w:ilvl="6" w:tplc="577E0412">
      <w:numFmt w:val="decimal"/>
      <w:lvlText w:val=""/>
      <w:lvlJc w:val="left"/>
    </w:lvl>
    <w:lvl w:ilvl="7" w:tplc="74DE025E">
      <w:numFmt w:val="decimal"/>
      <w:lvlText w:val=""/>
      <w:lvlJc w:val="left"/>
    </w:lvl>
    <w:lvl w:ilvl="8" w:tplc="147AE632">
      <w:numFmt w:val="decimal"/>
      <w:lvlText w:val=""/>
      <w:lvlJc w:val="left"/>
    </w:lvl>
  </w:abstractNum>
  <w:abstractNum w:abstractNumId="1" w15:restartNumberingAfterBreak="0">
    <w:nsid w:val="495470F2"/>
    <w:multiLevelType w:val="hybridMultilevel"/>
    <w:tmpl w:val="ABEE3C6E"/>
    <w:lvl w:ilvl="0" w:tplc="CED695FE">
      <w:start w:val="1"/>
      <w:numFmt w:val="bullet"/>
      <w:lvlText w:val="●"/>
      <w:lvlJc w:val="left"/>
      <w:pPr>
        <w:ind w:left="720" w:hanging="360"/>
      </w:pPr>
    </w:lvl>
    <w:lvl w:ilvl="1" w:tplc="D818CCB2">
      <w:start w:val="1"/>
      <w:numFmt w:val="bullet"/>
      <w:lvlText w:val="○"/>
      <w:lvlJc w:val="left"/>
      <w:pPr>
        <w:ind w:left="1440" w:hanging="360"/>
      </w:pPr>
    </w:lvl>
    <w:lvl w:ilvl="2" w:tplc="63B48188">
      <w:start w:val="1"/>
      <w:numFmt w:val="bullet"/>
      <w:lvlText w:val="■"/>
      <w:lvlJc w:val="left"/>
      <w:pPr>
        <w:ind w:left="2160" w:hanging="360"/>
      </w:pPr>
    </w:lvl>
    <w:lvl w:ilvl="3" w:tplc="AA9EF1FE">
      <w:start w:val="1"/>
      <w:numFmt w:val="bullet"/>
      <w:lvlText w:val="●"/>
      <w:lvlJc w:val="left"/>
      <w:pPr>
        <w:ind w:left="2880" w:hanging="360"/>
      </w:pPr>
    </w:lvl>
    <w:lvl w:ilvl="4" w:tplc="3EAA5108">
      <w:start w:val="1"/>
      <w:numFmt w:val="bullet"/>
      <w:lvlText w:val="○"/>
      <w:lvlJc w:val="left"/>
      <w:pPr>
        <w:ind w:left="3600" w:hanging="360"/>
      </w:pPr>
    </w:lvl>
    <w:lvl w:ilvl="5" w:tplc="F550C5AE">
      <w:start w:val="1"/>
      <w:numFmt w:val="bullet"/>
      <w:lvlText w:val="■"/>
      <w:lvlJc w:val="left"/>
      <w:pPr>
        <w:ind w:left="4320" w:hanging="360"/>
      </w:pPr>
    </w:lvl>
    <w:lvl w:ilvl="6" w:tplc="1F72AEAC">
      <w:start w:val="1"/>
      <w:numFmt w:val="bullet"/>
      <w:lvlText w:val="●"/>
      <w:lvlJc w:val="left"/>
      <w:pPr>
        <w:ind w:left="5040" w:hanging="360"/>
      </w:pPr>
    </w:lvl>
    <w:lvl w:ilvl="7" w:tplc="707CC016">
      <w:start w:val="1"/>
      <w:numFmt w:val="bullet"/>
      <w:lvlText w:val="●"/>
      <w:lvlJc w:val="left"/>
      <w:pPr>
        <w:ind w:left="5760" w:hanging="360"/>
      </w:pPr>
    </w:lvl>
    <w:lvl w:ilvl="8" w:tplc="8EE45CC6">
      <w:start w:val="1"/>
      <w:numFmt w:val="bullet"/>
      <w:lvlText w:val="●"/>
      <w:lvlJc w:val="left"/>
      <w:pPr>
        <w:ind w:left="6480" w:hanging="360"/>
      </w:pPr>
    </w:lvl>
  </w:abstractNum>
  <w:num w:numId="1" w16cid:durableId="820927019">
    <w:abstractNumId w:val="1"/>
    <w:lvlOverride w:ilvl="0">
      <w:startOverride w:val="1"/>
    </w:lvlOverride>
  </w:num>
  <w:num w:numId="2" w16cid:durableId="1059792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9BE"/>
    <w:rsid w:val="002C7EDC"/>
    <w:rsid w:val="003A2BF1"/>
    <w:rsid w:val="007F19BE"/>
    <w:rsid w:val="007F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4F7BD0"/>
  <w15:docId w15:val="{8A9C296A-FE98-AC4C-9C8A-6A3EC1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C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2978</Characters>
  <Application>Microsoft Office Word</Application>
  <DocSecurity>0</DocSecurity>
  <Lines>80</Lines>
  <Paragraphs>52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Grasso</cp:lastModifiedBy>
  <cp:revision>2</cp:revision>
  <dcterms:created xsi:type="dcterms:W3CDTF">2026-06-23T14:44:00Z</dcterms:created>
  <dcterms:modified xsi:type="dcterms:W3CDTF">2026-07-12T19:31:00Z</dcterms:modified>
</cp:coreProperties>
</file>