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Acciones Locales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Wiki de Inversiones · Mercado Argentino</w:t>
      </w:r>
    </w:p>
    <w:p>
      <w:pPr>
        <w:pBdr>
          <w:bottom w:val="single" w:color="2E6CA4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¿Qué es?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Las acciones locales son fracciones alícuotas del capital social de empresas argentinas que cotizan en el mercado bursátil operado por Bolsas y Mercados Argentinos (BYMA / BCBA). Al comprar una acción, el inversor adquiere la calidad de accionista y se convierte en socio proporcional de la empresa, asumiendo directamente el riesgo del negocio subyacente.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Las cotizaciones se organizan en dos paneles principales: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Panel Líder (S&amp;P Merval): empresas de mayor capitalización, volumen y liquidez. Incluye energía, bancos, materiales.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Panel General: compañías de menor capitalización. Operatoria más esporádica, mayor volatilidad y menor liquidez.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¿Cómo funciona el flujo de dinero?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Entrada: </w:t>
      </w:r>
      <w:r>
        <w:rPr>
          <w:rFonts w:ascii="Arial" w:cs="Arial" w:eastAsia="Arial" w:hAnsi="Arial"/>
          <w:sz w:val="22"/>
          <w:szCs w:val="22"/>
        </w:rPr>
        <w:t xml:space="preserve">Entrada: transferís pesos a tu cuenta comitente en una ALyC (broker) y emitís una orden de compra. BYMA empareja con una oferta de venta (match).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Rendimiento (1): </w:t>
      </w:r>
      <w:r>
        <w:rPr>
          <w:rFonts w:ascii="Arial" w:cs="Arial" w:eastAsia="Arial" w:hAnsi="Arial"/>
          <w:sz w:val="22"/>
          <w:szCs w:val="22"/>
        </w:rPr>
        <w:t xml:space="preserve">Rendimiento posible (1): Apreciación de capital — sube el precio de la acción por expectativas de flujo de caja futuro, mejora macroeconómica o demanda del sector.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Rendimiento (2): </w:t>
      </w:r>
      <w:r>
        <w:rPr>
          <w:rFonts w:ascii="Arial" w:cs="Arial" w:eastAsia="Arial" w:hAnsi="Arial"/>
          <w:sz w:val="22"/>
          <w:szCs w:val="22"/>
        </w:rPr>
        <w:t xml:space="preserve">Rendimiento posible (2): Dividendos — distribución periódica de utilidades líquidas aprobada por la Asamblea de Accionistas. No son obligatorios ni garantizados.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Salida: </w:t>
      </w:r>
      <w:r>
        <w:rPr>
          <w:rFonts w:ascii="Arial" w:cs="Arial" w:eastAsia="Arial" w:hAnsi="Arial"/>
          <w:sz w:val="22"/>
          <w:szCs w:val="22"/>
        </w:rPr>
        <w:t xml:space="preserve">Salida: vendés la acción en el mercado secundario. Los fondos se acreditan en tu cuenta comitente en T+2 (48 hs hábiles).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Moneda de exposición al riesgo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exposición estructural es en pesos argentinos: las acciones cotizan, se compran y liquidan en pesos. Sin embargo, existe una exposición económica indirecta e imperfecta: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Muchas empresas del Merval tienen ingresos en dólares (exportadoras de commodities, energía, etc.) o costos dolarizados, lo que introduce cobertura cambiaria de largo plazo.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 el corto plazo, esta correlación puede desacoplarse violentamente por el riesgo sistémico del país.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Principales riesgos estructurales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Riesgo de mercado: </w:t>
      </w:r>
      <w:r>
        <w:rPr>
          <w:rFonts w:ascii="Arial" w:cs="Arial" w:eastAsia="Arial" w:hAnsi="Arial"/>
          <w:sz w:val="22"/>
          <w:szCs w:val="22"/>
        </w:rPr>
        <w:t xml:space="preserve">Riesgo de mercado/volatilidad: fluctuaciones severas por ciclos económicos. El Panel General exhibe volatilidad extrema por baja profundidad.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Riesgo regulatorio: </w:t>
      </w:r>
      <w:r>
        <w:rPr>
          <w:rFonts w:ascii="Arial" w:cs="Arial" w:eastAsia="Arial" w:hAnsi="Arial"/>
          <w:sz w:val="22"/>
          <w:szCs w:val="22"/>
        </w:rPr>
        <w:t xml:space="preserve">Riesgo regulatorio/político: empresas del Merval pertenecen a sectores regulados (energía, bancos, servicios públicos). Cambios en tarifas, precios o normativas impactan directamente en la rentabilidad.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Riesgo de empresa: </w:t>
      </w:r>
      <w:r>
        <w:rPr>
          <w:rFonts w:ascii="Arial" w:cs="Arial" w:eastAsia="Arial" w:hAnsi="Arial"/>
          <w:sz w:val="22"/>
          <w:szCs w:val="22"/>
        </w:rPr>
        <w:t xml:space="preserve">Riesgo de empresa: malos resultados, mala gestión, cambios en el modelo de negocios.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Riesgo de liquidez: </w:t>
      </w:r>
      <w:r>
        <w:rPr>
          <w:rFonts w:ascii="Arial" w:cs="Arial" w:eastAsia="Arial" w:hAnsi="Arial"/>
          <w:sz w:val="22"/>
          <w:szCs w:val="22"/>
        </w:rPr>
        <w:t xml:space="preserve">Riesgo de liquidez: en el Panel General puede ser difícil encontrar contraparte sin sacrificar precio. Panel Líder tiene liquidez profunda.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Riesgo cambiario: </w:t>
      </w:r>
      <w:r>
        <w:rPr>
          <w:rFonts w:ascii="Arial" w:cs="Arial" w:eastAsia="Arial" w:hAnsi="Arial"/>
          <w:sz w:val="22"/>
          <w:szCs w:val="22"/>
        </w:rPr>
        <w:t xml:space="preserve">Riesgo cambiario: devaluaciones bruscas pueden afectar costos e ingresos de las empresas, aunque también puede ser una cobertura en el largo plazo.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Horizonte recomendado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Conceptualmente son instrumentos de mediano y largo plazo (más de 2-3 años). En ventanas cortas (0-12 meses), la alta volatilidad puede generar pérdidas nominales abruptas, incompatibles con estrategias de preservación de caja o liquidez transitoria.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la práctica muchos inversores las usan para trading de corto plazo, pero eso amplifica el peso de la volatilidad y el ruido de mercado.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Ticket mínimo y accesibilidad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Son instrumentos altamente democráticos. El monto mínimo es 1 acción, que históricamente representa fracciones de capital que exigen apenas unos pocos miles de pesos.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tickets de USD 1.000-2.000 equivalentes, las acciones locales son operables. Conviene evitar concentrarse en una o dos especies de baja liquidez del Panel General.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¿Cuándo tiene sentido usarlas?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Cuando el objetivo es apreciación de capital agresiva a largo plazo, asumiendo riesgo elevado.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 ganar exposición a sectores específicos de la economía local (energía, agro, bancos, telecomunicaciones).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 cobrar dividendos en empresas con política estable de distribución.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es idóneo para resguardar el poder adquisitivo de saldos transitorios ni para perfiles que no toleran variaciones negativas diarias en su cartera.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Dónde ver información actualizada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BYMA Data: </w:t>
      </w:r>
      <w:r>
        <w:rPr>
          <w:rFonts w:ascii="Arial" w:cs="Arial" w:eastAsia="Arial" w:hAnsi="Arial"/>
          <w:sz w:val="22"/>
          <w:szCs w:val="22"/>
        </w:rPr>
        <w:t xml:space="preserve">BYMA Data (open.bymadata.com.ar / bymadata.com.ar): cotizaciones en tiempo real, volúmenes, variaciones, composición del S&amp;P Merval y BYMA General.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CNV: </w:t>
      </w:r>
      <w:r>
        <w:rPr>
          <w:rFonts w:ascii="Arial" w:cs="Arial" w:eastAsia="Arial" w:hAnsi="Arial"/>
          <w:sz w:val="22"/>
          <w:szCs w:val="22"/>
        </w:rPr>
        <w:t xml:space="preserve">CNV (cnv.gov.ar): prospectos de emisión, balances trimestrales, hechos relevantes que las empresas deben informar.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Brokers: </w:t>
      </w:r>
      <w:r>
        <w:rPr>
          <w:rFonts w:ascii="Arial" w:cs="Arial" w:eastAsia="Arial" w:hAnsi="Arial"/>
          <w:sz w:val="22"/>
          <w:szCs w:val="22"/>
        </w:rPr>
        <w:t xml:space="preserve">Paneles de brokers (Allaria, PPI, Puente, IOL, Bull Market, Cocos, Balanz): precios, gráficos históricos, análisis fundamental básico por especie.</w:t>
      </w:r>
    </w:p>
    <w:p>
      <w:pPr>
        <w:spacing w:after="80" w:before="80"/>
      </w:pPr>
      <w:r>
        <w:t xml:space="preserve"/>
      </w:r>
    </w:p>
    <w:p>
      <w:pPr>
        <w:pBdr>
          <w:bottom w:val="single" w:color="2E6CA4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📊 Tabla resumen de atributos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C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Tipo de instrumento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Renta Variable (participación societaria)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Moneda de cotización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Pesos argentinos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Exposición económica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Indirecta al dólar y a la economía real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Genera renta periódica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veces (dividendos, no garantizados)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Cobertura inflación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Indirecta (largo plazo)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Cobertura dólar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directa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Horizonte recomendado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Mediano/largo plazo (&gt; 2-3 años)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Ticket mínimo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Desde 1 acción (muy bajo)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Mercado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BYMA / BCBA – Panel Líder y Panel General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Regulador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CNV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Plazo de liquidación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T+2 (48 hs hábiles)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6CA4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🤖 Nota de mantenimiento para LLM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Esta página de la wiki es mantenida por un LLM. Para actualizar, pasá este documento junto con datos de mercado recientes al modelo y usá el siguiente prompt:
"Actualizá la sección 'Dónde ver información actualizada' de este instrumento con tasas, rendimientos o condiciones vigentes al [FECHA]. Mantené la estructura existente. Si algún dato estructural cambió (nueva regulación, cambio de régimen), actualizá también las secciones correspondientes y anotá la fecha de cambio."
Modelo recomendado: claude-haiku-4-5-20251001 para actualizaciones rutinarias · claude-sonnet-4-6 para revisiones profundas.</w:t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Wiki de Inversiones · Acciones Locales ·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C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2026-06-23T14:44:28.598Z</dcterms:created>
  <dcterms:modified xsi:type="dcterms:W3CDTF">2026-06-23T14:44:28.598Z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