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2"/>
          <w:szCs w:val="52"/>
        </w:rPr>
        <w:t xml:space="preserve">CEDEARs (Acciones y ETF)</w:t>
      </w:r>
    </w:p>
    <w:p>
      <w:pPr>
        <w:spacing w:after="480" w:before="0"/>
        <w:jc w:val="center"/>
      </w:pPr>
      <w:r>
        <w:rPr>
          <w:rFonts w:ascii="Arial" w:cs="Arial" w:eastAsia="Arial" w:hAnsi="Arial"/>
          <w:i/>
          <w:iCs/>
          <w:color w:val="555555"/>
          <w:sz w:val="24"/>
          <w:szCs w:val="24"/>
        </w:rPr>
        <w:t xml:space="preserve">Wiki de Inversiones · Mercado Argentino</w:t>
      </w:r>
    </w:p>
    <w:p>
      <w:pPr>
        <w:pBdr>
          <w:bottom w:val="single" w:color="2E6CA4" w:sz="6" w:space="1"/>
        </w:pBdr>
        <w:spacing w:after="160" w:before="160"/>
      </w:pPr>
      <w:r>
        <w:t xml:space="preserve"/>
      </w:r>
    </w:p>
    <w:p>
      <w:pPr>
        <w:pStyle w:val="Heading2"/>
        <w:spacing w:after="120" w:before="280"/>
      </w:pPr>
      <w:r>
        <w:rPr>
          <w:rFonts w:ascii="Arial" w:cs="Arial" w:eastAsia="Arial" w:hAnsi="Arial"/>
          <w:b/>
          <w:bCs/>
          <w:color w:val="2E6CA4"/>
          <w:sz w:val="26"/>
          <w:szCs w:val="26"/>
        </w:rPr>
        <w:t xml:space="preserve">¿Qué es?</w:t>
      </w:r>
    </w:p>
    <w:p>
      <w:pPr>
        <w:spacing w:after="60" w:before="60"/>
      </w:pPr>
      <w:r>
        <w:rPr>
          <w:rFonts w:ascii="Arial" w:cs="Arial" w:eastAsia="Arial" w:hAnsi="Arial"/>
          <w:sz w:val="22"/>
          <w:szCs w:val="22"/>
        </w:rPr>
        <w:t xml:space="preserve">Los CEDEARs (Certificados de Depósito Argentinos) son instrumentos financieros listados en el mercado local que representan fracciones de acciones de empresas extranjeras (Apple, Microsoft, Coca-Cola, etc.) o ETF internacionales (SPY, QQQ, EEM), sin que esas empresas tengan oferta pública en Argentina.</w:t>
      </w:r>
    </w:p>
    <w:p>
      <w:pPr>
        <w:spacing w:after="60" w:before="60"/>
      </w:pPr>
      <w:r>
        <w:rPr>
          <w:rFonts w:ascii="Arial" w:cs="Arial" w:eastAsia="Arial" w:hAnsi="Arial"/>
          <w:sz w:val="22"/>
          <w:szCs w:val="22"/>
        </w:rPr>
        <w:t xml:space="preserve">La arquitectura jurídica implica que por cada CEDEAR en circulación existe un activo subyacente real custodiado internacionalmente por una entidad bancaria fiduciaria. La Caja de Valores S.A. publica los ratios de conversión oficiales.</w:t>
      </w:r>
    </w:p>
    <w:p>
      <w:pPr>
        <w:spacing w:after="60" w:before="60"/>
      </w:pPr>
      <w:r>
        <w:rPr>
          <w:rFonts w:ascii="Arial" w:cs="Arial" w:eastAsia="Arial" w:hAnsi="Arial"/>
          <w:sz w:val="22"/>
          <w:szCs w:val="22"/>
        </w:rPr>
        <w:t xml:space="preserve">Los CEDEARs de ETF permiten acceder con un solo certificado al S&amp;P 500 (SPY), Nasdaq 100 (QQQ), mercados emergentes (EEM), sectores específicos, etc.</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¿Cómo funciona el flujo de dinero?</w:t>
      </w:r>
    </w:p>
    <w:p>
      <w:pPr>
        <w:pStyle w:val="ListParagraph"/>
        <w:numPr>
          <w:ilvl w:val="0"/>
          <w:numId w:val="2"/>
        </w:numPr>
        <w:spacing w:after="40" w:before="40"/>
      </w:pPr>
      <w:r>
        <w:rPr>
          <w:rFonts w:ascii="Arial" w:cs="Arial" w:eastAsia="Arial" w:hAnsi="Arial"/>
          <w:b/>
          <w:bCs/>
          <w:sz w:val="22"/>
          <w:szCs w:val="22"/>
        </w:rPr>
        <w:t xml:space="preserve">Entrada: </w:t>
      </w:r>
      <w:r>
        <w:rPr>
          <w:rFonts w:ascii="Arial" w:cs="Arial" w:eastAsia="Arial" w:hAnsi="Arial"/>
          <w:sz w:val="22"/>
          <w:szCs w:val="22"/>
        </w:rPr>
        <w:t xml:space="preserve">Entrada: comprás CEDEARs en pesos (o dólares MEP) a través de tu broker en BYMA, igual que una acción local.</w:t>
      </w:r>
    </w:p>
    <w:p>
      <w:pPr>
        <w:pStyle w:val="ListParagraph"/>
        <w:numPr>
          <w:ilvl w:val="0"/>
          <w:numId w:val="2"/>
        </w:numPr>
        <w:spacing w:after="40" w:before="40"/>
      </w:pPr>
      <w:r>
        <w:rPr>
          <w:rFonts w:ascii="Arial" w:cs="Arial" w:eastAsia="Arial" w:hAnsi="Arial"/>
          <w:b/>
          <w:bCs/>
          <w:sz w:val="22"/>
          <w:szCs w:val="22"/>
        </w:rPr>
        <w:t xml:space="preserve">Rendimiento (1): </w:t>
      </w:r>
      <w:r>
        <w:rPr>
          <w:rFonts w:ascii="Arial" w:cs="Arial" w:eastAsia="Arial" w:hAnsi="Arial"/>
          <w:sz w:val="22"/>
          <w:szCs w:val="22"/>
        </w:rPr>
        <w:t xml:space="preserve">Rendimiento (1): variación del activo subyacente en su mercado de origen (Wall Street, etc.).</w:t>
      </w:r>
    </w:p>
    <w:p>
      <w:pPr>
        <w:pStyle w:val="ListParagraph"/>
        <w:numPr>
          <w:ilvl w:val="0"/>
          <w:numId w:val="2"/>
        </w:numPr>
        <w:spacing w:after="40" w:before="40"/>
      </w:pPr>
      <w:r>
        <w:rPr>
          <w:rFonts w:ascii="Arial" w:cs="Arial" w:eastAsia="Arial" w:hAnsi="Arial"/>
          <w:b/>
          <w:bCs/>
          <w:sz w:val="22"/>
          <w:szCs w:val="22"/>
        </w:rPr>
        <w:t xml:space="preserve">Rendimiento (2): </w:t>
      </w:r>
      <w:r>
        <w:rPr>
          <w:rFonts w:ascii="Arial" w:cs="Arial" w:eastAsia="Arial" w:hAnsi="Arial"/>
          <w:sz w:val="22"/>
          <w:szCs w:val="22"/>
        </w:rPr>
        <w:t xml:space="preserve">Rendimiento (2): variación del tipo de cambio CCL. El precio en pesos = precio del subyacente en USD × CCL ÷ ratio de conversión.</w:t>
      </w:r>
    </w:p>
    <w:p>
      <w:pPr>
        <w:pStyle w:val="ListParagraph"/>
        <w:numPr>
          <w:ilvl w:val="0"/>
          <w:numId w:val="2"/>
        </w:numPr>
        <w:spacing w:after="40" w:before="40"/>
      </w:pPr>
      <w:r>
        <w:rPr>
          <w:rFonts w:ascii="Arial" w:cs="Arial" w:eastAsia="Arial" w:hAnsi="Arial"/>
          <w:b/>
          <w:bCs/>
          <w:sz w:val="22"/>
          <w:szCs w:val="22"/>
        </w:rPr>
        <w:t xml:space="preserve">Rendimiento (3): </w:t>
      </w:r>
      <w:r>
        <w:rPr>
          <w:rFonts w:ascii="Arial" w:cs="Arial" w:eastAsia="Arial" w:hAnsi="Arial"/>
          <w:sz w:val="22"/>
          <w:szCs w:val="22"/>
        </w:rPr>
        <w:t xml:space="preserve">Rendimiento (3): dividendos del subyacente, acreditados en dólares (dólar cable o MEP) netos de retenciones en la jurisdicción de origen.</w:t>
      </w:r>
    </w:p>
    <w:p>
      <w:pPr>
        <w:pStyle w:val="ListParagraph"/>
        <w:numPr>
          <w:ilvl w:val="0"/>
          <w:numId w:val="2"/>
        </w:numPr>
        <w:spacing w:after="40" w:before="40"/>
      </w:pPr>
      <w:r>
        <w:rPr>
          <w:rFonts w:ascii="Arial" w:cs="Arial" w:eastAsia="Arial" w:hAnsi="Arial"/>
          <w:b/>
          <w:bCs/>
          <w:sz w:val="22"/>
          <w:szCs w:val="22"/>
        </w:rPr>
        <w:t xml:space="preserve">Salida: </w:t>
      </w:r>
      <w:r>
        <w:rPr>
          <w:rFonts w:ascii="Arial" w:cs="Arial" w:eastAsia="Arial" w:hAnsi="Arial"/>
          <w:sz w:val="22"/>
          <w:szCs w:val="22"/>
        </w:rPr>
        <w:t xml:space="preserve">Salida: vendés en el mercado local y recibís pesos. Alternativamente, si acumulás suficientes CEDEARs según el ratio de conversión, podés solicitar a la Caja de Valores la transferencia de la acción original a una cuenta en el exterior.</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Moneda de exposición al riesgo</w:t>
      </w:r>
    </w:p>
    <w:p>
      <w:pPr>
        <w:spacing w:after="60" w:before="60"/>
      </w:pPr>
      <w:r>
        <w:rPr>
          <w:rFonts w:ascii="Arial" w:cs="Arial" w:eastAsia="Arial" w:hAnsi="Arial"/>
          <w:sz w:val="22"/>
          <w:szCs w:val="22"/>
        </w:rPr>
        <w:t xml:space="preserve">Exposición doble: dólar CCL y moneda/economía de la empresa emisora. Aunque la operación sea en pesos, el inversor está comprando cobertura cambiaria dura.</w:t>
      </w:r>
    </w:p>
    <w:p>
      <w:pPr>
        <w:spacing w:after="60" w:before="60"/>
      </w:pPr>
      <w:r>
        <w:rPr>
          <w:rFonts w:ascii="Arial" w:cs="Arial" w:eastAsia="Arial" w:hAnsi="Arial"/>
          <w:sz w:val="22"/>
          <w:szCs w:val="22"/>
        </w:rPr>
        <w:t xml:space="preserve">Riesgo contraintuitivo: si el CCL cae (el peso se aprecia en el mercado libre), el CEDEAR en pesos puede bajar aunque la acción subyacente haya subido en Wall Street.</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Principales riesgos estructurales</w:t>
      </w:r>
    </w:p>
    <w:p>
      <w:pPr>
        <w:pStyle w:val="ListParagraph"/>
        <w:numPr>
          <w:ilvl w:val="0"/>
          <w:numId w:val="2"/>
        </w:numPr>
        <w:spacing w:after="40" w:before="40"/>
      </w:pPr>
      <w:r>
        <w:rPr>
          <w:rFonts w:ascii="Arial" w:cs="Arial" w:eastAsia="Arial" w:hAnsi="Arial"/>
          <w:b/>
          <w:bCs/>
          <w:sz w:val="22"/>
          <w:szCs w:val="22"/>
        </w:rPr>
        <w:t xml:space="preserve">Riesgo de mercado: </w:t>
      </w:r>
      <w:r>
        <w:rPr>
          <w:rFonts w:ascii="Arial" w:cs="Arial" w:eastAsia="Arial" w:hAnsi="Arial"/>
          <w:sz w:val="22"/>
          <w:szCs w:val="22"/>
        </w:rPr>
        <w:t xml:space="preserve">Riesgo del activo subyacente: caídas en el mercado internacional afectan directamente el CEDEAR.</w:t>
      </w:r>
    </w:p>
    <w:p>
      <w:pPr>
        <w:pStyle w:val="ListParagraph"/>
        <w:numPr>
          <w:ilvl w:val="0"/>
          <w:numId w:val="2"/>
        </w:numPr>
        <w:spacing w:after="40" w:before="40"/>
      </w:pPr>
      <w:r>
        <w:rPr>
          <w:rFonts w:ascii="Arial" w:cs="Arial" w:eastAsia="Arial" w:hAnsi="Arial"/>
          <w:b/>
          <w:bCs/>
          <w:sz w:val="22"/>
          <w:szCs w:val="22"/>
        </w:rPr>
        <w:t xml:space="preserve">Riesgo CCL: </w:t>
      </w:r>
      <w:r>
        <w:rPr>
          <w:rFonts w:ascii="Arial" w:cs="Arial" w:eastAsia="Arial" w:hAnsi="Arial"/>
          <w:sz w:val="22"/>
          <w:szCs w:val="22"/>
        </w:rPr>
        <w:t xml:space="preserve">Riesgo cambiario (CCL): movimientos del tipo de cambio libre pueden aumentar o erosionar el retorno en pesos.</w:t>
      </w:r>
    </w:p>
    <w:p>
      <w:pPr>
        <w:pStyle w:val="ListParagraph"/>
        <w:numPr>
          <w:ilvl w:val="0"/>
          <w:numId w:val="2"/>
        </w:numPr>
        <w:spacing w:after="40" w:before="40"/>
      </w:pPr>
      <w:r>
        <w:rPr>
          <w:rFonts w:ascii="Arial" w:cs="Arial" w:eastAsia="Arial" w:hAnsi="Arial"/>
          <w:b/>
          <w:bCs/>
          <w:sz w:val="22"/>
          <w:szCs w:val="22"/>
        </w:rPr>
        <w:t xml:space="preserve">Riesgo de liquidez: </w:t>
      </w:r>
      <w:r>
        <w:rPr>
          <w:rFonts w:ascii="Arial" w:cs="Arial" w:eastAsia="Arial" w:hAnsi="Arial"/>
          <w:sz w:val="22"/>
          <w:szCs w:val="22"/>
        </w:rPr>
        <w:t xml:space="preserve">Riesgo de liquidez local: los CEDEARs de empresas masivas (AAPL, SPY, QQQ) tienen enorme liquidez en BYMA. Los de empresas menos conocidas pueden tener spreads amplios.</w:t>
      </w:r>
    </w:p>
    <w:p>
      <w:pPr>
        <w:pStyle w:val="ListParagraph"/>
        <w:numPr>
          <w:ilvl w:val="0"/>
          <w:numId w:val="2"/>
        </w:numPr>
        <w:spacing w:after="40" w:before="40"/>
      </w:pPr>
      <w:r>
        <w:rPr>
          <w:rFonts w:ascii="Arial" w:cs="Arial" w:eastAsia="Arial" w:hAnsi="Arial"/>
          <w:b/>
          <w:bCs/>
          <w:sz w:val="22"/>
          <w:szCs w:val="22"/>
        </w:rPr>
        <w:t xml:space="preserve">Riesgo regulatorio: </w:t>
      </w:r>
      <w:r>
        <w:rPr>
          <w:rFonts w:ascii="Arial" w:cs="Arial" w:eastAsia="Arial" w:hAnsi="Arial"/>
          <w:sz w:val="22"/>
          <w:szCs w:val="22"/>
        </w:rPr>
        <w:t xml:space="preserve">Riesgo regulatorio/custodia: cambios en normativa cambiaria local o en el país de origen del activo.</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Horizonte recomendado</w:t>
      </w:r>
    </w:p>
    <w:p>
      <w:pPr>
        <w:spacing w:after="60" w:before="60"/>
      </w:pPr>
      <w:r>
        <w:rPr>
          <w:rFonts w:ascii="Arial" w:cs="Arial" w:eastAsia="Arial" w:hAnsi="Arial"/>
          <w:sz w:val="22"/>
          <w:szCs w:val="22"/>
        </w:rPr>
        <w:t xml:space="preserve">Mediano y largo plazo (2-5 años o más), dada la volatilidad combinada de renta variable global + dinámicas del CCL. No es instrumento para estacionar pesos que se necesitan en el corto plazo.</w:t>
      </w:r>
    </w:p>
    <w:p>
      <w:pPr>
        <w:spacing w:after="60" w:before="60"/>
      </w:pPr>
      <w:r>
        <w:rPr>
          <w:rFonts w:ascii="Arial" w:cs="Arial" w:eastAsia="Arial" w:hAnsi="Arial"/>
          <w:sz w:val="22"/>
          <w:szCs w:val="22"/>
        </w:rPr>
        <w:t xml:space="preserve">Pueden usarse tácticamente en plazos más cortos para aprovechar movimientos puntuales de sectores o del tipo de cambio.</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Ticket mínimo y accesibilidad</w:t>
      </w:r>
    </w:p>
    <w:p>
      <w:pPr>
        <w:spacing w:after="60" w:before="60"/>
      </w:pPr>
      <w:r>
        <w:rPr>
          <w:rFonts w:ascii="Arial" w:cs="Arial" w:eastAsia="Arial" w:hAnsi="Arial"/>
          <w:sz w:val="22"/>
          <w:szCs w:val="22"/>
        </w:rPr>
        <w:t xml:space="preserve">Sobresaliente. El ratio de conversión (ej. 10:1 significa que 10 CEDEARs equivalen a 1 acción) fracciona el activo original, reduciendo el ticket mínimo a sumas muy bajas en pesos.</w:t>
      </w:r>
    </w:p>
    <w:p>
      <w:pPr>
        <w:spacing w:after="60" w:before="60"/>
      </w:pPr>
      <w:r>
        <w:rPr>
          <w:rFonts w:ascii="Arial" w:cs="Arial" w:eastAsia="Arial" w:hAnsi="Arial"/>
          <w:sz w:val="22"/>
          <w:szCs w:val="22"/>
        </w:rPr>
        <w:t xml:space="preserve">Un portafolio de USD 1.000-2.000 puede lograr una diversificación sectorial asombrosa: tecnología, salud, consumo, el S&amp;P 500 completo, todos desde Argentina.</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¿Cuándo tiene sentido usarlos?</w:t>
      </w:r>
    </w:p>
    <w:p>
      <w:pPr>
        <w:pStyle w:val="ListParagraph"/>
        <w:numPr>
          <w:ilvl w:val="0"/>
          <w:numId w:val="2"/>
        </w:numPr>
        <w:spacing w:after="40" w:before="40"/>
      </w:pPr>
      <w:r>
        <w:rPr>
          <w:rFonts w:ascii="Arial" w:cs="Arial" w:eastAsia="Arial" w:hAnsi="Arial"/>
          <w:sz w:val="22"/>
          <w:szCs w:val="22"/>
        </w:rPr>
        <w:t xml:space="preserve">Para cobertura cambiaria implícita frente a devaluaciones del peso en los mercados libres.</w:t>
      </w:r>
    </w:p>
    <w:p>
      <w:pPr>
        <w:pStyle w:val="ListParagraph"/>
        <w:numPr>
          <w:ilvl w:val="0"/>
          <w:numId w:val="2"/>
        </w:numPr>
        <w:spacing w:after="40" w:before="40"/>
      </w:pPr>
      <w:r>
        <w:rPr>
          <w:rFonts w:ascii="Arial" w:cs="Arial" w:eastAsia="Arial" w:hAnsi="Arial"/>
          <w:sz w:val="22"/>
          <w:szCs w:val="22"/>
        </w:rPr>
        <w:t xml:space="preserve">Para diversificación geográfica e internacional sin abrir cuenta en el exterior.</w:t>
      </w:r>
    </w:p>
    <w:p>
      <w:pPr>
        <w:pStyle w:val="ListParagraph"/>
        <w:numPr>
          <w:ilvl w:val="0"/>
          <w:numId w:val="2"/>
        </w:numPr>
        <w:spacing w:after="40" w:before="40"/>
      </w:pPr>
      <w:r>
        <w:rPr>
          <w:rFonts w:ascii="Arial" w:cs="Arial" w:eastAsia="Arial" w:hAnsi="Arial"/>
          <w:sz w:val="22"/>
          <w:szCs w:val="22"/>
        </w:rPr>
        <w:t xml:space="preserve">Para construir cartera de crecimiento de capital con exposición temática: tecnología, commodities, índices globales, mercados emergentes.</w:t>
      </w:r>
    </w:p>
    <w:p>
      <w:pPr>
        <w:pStyle w:val="ListParagraph"/>
        <w:numPr>
          <w:ilvl w:val="0"/>
          <w:numId w:val="2"/>
        </w:numPr>
        <w:spacing w:after="40" w:before="40"/>
      </w:pPr>
      <w:r>
        <w:rPr>
          <w:rFonts w:ascii="Arial" w:cs="Arial" w:eastAsia="Arial" w:hAnsi="Arial"/>
          <w:sz w:val="22"/>
          <w:szCs w:val="22"/>
        </w:rPr>
        <w:t xml:space="preserve">Para aislar una porción del patrimonio del riesgo regulatorio y crediticio argentino.</w:t>
      </w:r>
    </w:p>
    <w:p>
      <w:pPr>
        <w:spacing w:after="80" w:before="80"/>
      </w:pPr>
      <w:r>
        <w:t xml:space="preserve"/>
      </w:r>
    </w:p>
    <w:p>
      <w:pPr>
        <w:pStyle w:val="Heading2"/>
        <w:spacing w:after="120" w:before="280"/>
      </w:pPr>
      <w:r>
        <w:rPr>
          <w:rFonts w:ascii="Arial" w:cs="Arial" w:eastAsia="Arial" w:hAnsi="Arial"/>
          <w:b/>
          <w:bCs/>
          <w:color w:val="2E6CA4"/>
          <w:sz w:val="26"/>
          <w:szCs w:val="26"/>
        </w:rPr>
        <w:t xml:space="preserve">Dónde ver información actualizada</w:t>
      </w:r>
    </w:p>
    <w:p>
      <w:pPr>
        <w:pStyle w:val="ListParagraph"/>
        <w:numPr>
          <w:ilvl w:val="0"/>
          <w:numId w:val="2"/>
        </w:numPr>
        <w:spacing w:after="40" w:before="40"/>
      </w:pPr>
      <w:r>
        <w:rPr>
          <w:rFonts w:ascii="Arial" w:cs="Arial" w:eastAsia="Arial" w:hAnsi="Arial"/>
          <w:b/>
          <w:bCs/>
          <w:sz w:val="22"/>
          <w:szCs w:val="22"/>
        </w:rPr>
        <w:t xml:space="preserve">BYMA Data: </w:t>
      </w:r>
      <w:r>
        <w:rPr>
          <w:rFonts w:ascii="Arial" w:cs="Arial" w:eastAsia="Arial" w:hAnsi="Arial"/>
          <w:sz w:val="22"/>
          <w:szCs w:val="22"/>
        </w:rPr>
        <w:t xml:space="preserve">BYMA Data (open.bymadata.com.ar): panel específico de CEDEARs con precios en tiempo real, S&amp;P BYMA CEDEAR Index, volúmenes.</w:t>
      </w:r>
    </w:p>
    <w:p>
      <w:pPr>
        <w:pStyle w:val="ListParagraph"/>
        <w:numPr>
          <w:ilvl w:val="0"/>
          <w:numId w:val="2"/>
        </w:numPr>
        <w:spacing w:after="40" w:before="40"/>
      </w:pPr>
      <w:r>
        <w:rPr>
          <w:rFonts w:ascii="Arial" w:cs="Arial" w:eastAsia="Arial" w:hAnsi="Arial"/>
          <w:b/>
          <w:bCs/>
          <w:sz w:val="22"/>
          <w:szCs w:val="22"/>
        </w:rPr>
        <w:t xml:space="preserve">Caja de Valores: </w:t>
      </w:r>
      <w:r>
        <w:rPr>
          <w:rFonts w:ascii="Arial" w:cs="Arial" w:eastAsia="Arial" w:hAnsi="Arial"/>
          <w:sz w:val="22"/>
          <w:szCs w:val="22"/>
        </w:rPr>
        <w:t xml:space="preserve">Caja de Valores (cajadevalores.com.ar/Servicios/Cedears): ratios de conversión oficiales actualizados de todos los CEDEARs.</w:t>
      </w:r>
    </w:p>
    <w:p>
      <w:pPr>
        <w:pStyle w:val="ListParagraph"/>
        <w:numPr>
          <w:ilvl w:val="0"/>
          <w:numId w:val="2"/>
        </w:numPr>
        <w:spacing w:after="40" w:before="40"/>
      </w:pPr>
      <w:r>
        <w:rPr>
          <w:rFonts w:ascii="Arial" w:cs="Arial" w:eastAsia="Arial" w:hAnsi="Arial"/>
          <w:b/>
          <w:bCs/>
          <w:sz w:val="22"/>
          <w:szCs w:val="22"/>
        </w:rPr>
        <w:t xml:space="preserve">Brokers: </w:t>
      </w:r>
      <w:r>
        <w:rPr>
          <w:rFonts w:ascii="Arial" w:cs="Arial" w:eastAsia="Arial" w:hAnsi="Arial"/>
          <w:sz w:val="22"/>
          <w:szCs w:val="22"/>
        </w:rPr>
        <w:t xml:space="preserve">Plataformas de brokers: calculan el CCL implícito de cada CEDEAR cruzando precio local vs. precio en origen. Métrica vital antes de operar.</w:t>
      </w:r>
    </w:p>
    <w:p>
      <w:pPr>
        <w:pStyle w:val="ListParagraph"/>
        <w:numPr>
          <w:ilvl w:val="0"/>
          <w:numId w:val="2"/>
        </w:numPr>
        <w:spacing w:after="40" w:before="40"/>
      </w:pPr>
      <w:r>
        <w:rPr>
          <w:rFonts w:ascii="Arial" w:cs="Arial" w:eastAsia="Arial" w:hAnsi="Arial"/>
          <w:b/>
          <w:bCs/>
          <w:sz w:val="22"/>
          <w:szCs w:val="22"/>
        </w:rPr>
        <w:t xml:space="preserve">BYMA: </w:t>
      </w:r>
      <w:r>
        <w:rPr>
          <w:rFonts w:ascii="Arial" w:cs="Arial" w:eastAsia="Arial" w:hAnsi="Arial"/>
          <w:sz w:val="22"/>
          <w:szCs w:val="22"/>
        </w:rPr>
        <w:t xml:space="preserve">BYMA (byma.com.ar/productos/productos-financieros/cedears): listado de CEDEARs disponibles y CEDEARs de ETF habilitados.</w:t>
      </w:r>
    </w:p>
    <w:p>
      <w:pPr>
        <w:spacing w:after="80" w:before="80"/>
      </w:pPr>
      <w:r>
        <w:t xml:space="preserve"/>
      </w:r>
    </w:p>
    <w:p>
      <w:pPr>
        <w:pBdr>
          <w:bottom w:val="single" w:color="2E6CA4" w:sz="6" w:space="1"/>
        </w:pBdr>
        <w:spacing w:after="160" w:before="160"/>
      </w:pPr>
      <w:r>
        <w:t xml:space="preserve"/>
      </w:r>
    </w:p>
    <w:p>
      <w:pPr>
        <w:pStyle w:val="Heading2"/>
        <w:spacing w:after="120" w:before="280"/>
      </w:pPr>
      <w:r>
        <w:rPr>
          <w:rFonts w:ascii="Arial" w:cs="Arial" w:eastAsia="Arial" w:hAnsi="Arial"/>
          <w:b/>
          <w:bCs/>
          <w:color w:val="2E6CA4"/>
          <w:sz w:val="26"/>
          <w:szCs w:val="26"/>
        </w:rPr>
        <w:t xml:space="preserve">📊 Tabla resumen de atributos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5760"/>
            <w:tcBorders>
              <w:top w:val="single" w:color="CCCCCC" w:sz="1"/>
              <w:left w:val="single" w:color="CCCCCC" w:sz="1"/>
              <w:bottom w:val="single" w:color="CCCCCC" w:sz="1"/>
              <w:right w:val="single" w:color="CCCCCC" w:sz="1"/>
            </w:tcBorders>
            <w:shd w:fill="2E6CA4" w:val="clear"/>
            <w:tcMar>
              <w:top w:type="dxa" w:w="80"/>
              <w:left w:type="dxa" w:w="120"/>
              <w:bottom w:type="dxa" w:w="80"/>
              <w:right w:type="dxa" w:w="120"/>
            </w:tcMar>
          </w:tcPr>
          <w:p>
            <w:r>
              <w:rPr>
                <w:rFonts w:ascii="Arial" w:cs="Arial" w:eastAsia="Arial" w:hAnsi="Arial"/>
                <w:color w:val="FFFFFF"/>
                <w:sz w:val="20"/>
                <w:szCs w:val="20"/>
              </w:rPr>
              <w:t xml:space="preserve">Valor</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Tipo de instrumento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Renta Variable Internacional (certificado de depósito)</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Moneda de cotización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Pesos (ligados al Dólar CCL)</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Exposición económica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Dólar CCL + activo subyacente internacional</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Genera renta periódica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veces (dividendos del subyacente, en USD)</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Cobertura inflación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Indirecta (vía CCL)</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Cobertura dólar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Sí, dólar CCL</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Horizonte recomendado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Mediano/largo plazo (2-5 años)</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Ticket mínimo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Muy bajo (fraccionamiento por ratio de conversión)</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Mercado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BYMA (secondary) / Caja de Valores (custodia internacional)</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Regulador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CNV / regulador del país de origen</w:t>
            </w:r>
          </w:p>
        </w:tc>
      </w:tr>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Plazo de liquidación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T+2</w:t>
            </w:r>
          </w:p>
        </w:tc>
      </w:tr>
    </w:tbl>
    <w:p>
      <w:pPr>
        <w:spacing w:after="80" w:before="80"/>
      </w:pPr>
      <w:r>
        <w:t xml:space="preserve"/>
      </w:r>
    </w:p>
    <w:p>
      <w:pPr>
        <w:pBdr>
          <w:bottom w:val="single" w:color="2E6CA4" w:sz="6" w:space="1"/>
        </w:pBdr>
        <w:spacing w:after="160" w:before="160"/>
      </w:pPr>
      <w:r>
        <w:t xml:space="preserve"/>
      </w:r>
    </w:p>
    <w:p>
      <w:pPr>
        <w:pStyle w:val="Heading2"/>
        <w:spacing w:after="120" w:before="280"/>
      </w:pPr>
      <w:r>
        <w:rPr>
          <w:rFonts w:ascii="Arial" w:cs="Arial" w:eastAsia="Arial" w:hAnsi="Arial"/>
          <w:b/>
          <w:bCs/>
          <w:color w:val="2E6CA4"/>
          <w:sz w:val="26"/>
          <w:szCs w:val="26"/>
        </w:rPr>
        <w:t xml:space="preserve">🤖 Nota de mantenimiento para LLM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0F4FB" w:val="clear"/>
            <w:tcMar>
              <w:top w:type="dxa" w:w="120"/>
              <w:left w:type="dxa" w:w="180"/>
              <w:bottom w:type="dxa" w:w="120"/>
              <w:right w:type="dxa" w:w="180"/>
            </w:tcMar>
          </w:tcPr>
          <w:p>
            <w:r>
              <w:rPr>
                <w:rFonts w:ascii="Arial" w:cs="Arial" w:eastAsia="Arial" w:hAnsi="Arial"/>
                <w:i/>
                <w:iCs/>
                <w:color w:val="333333"/>
                <w:sz w:val="20"/>
                <w:szCs w:val="20"/>
              </w:rPr>
              <w:t xml:space="preserve">Esta página de la wiki es mantenida por un LLM. Para actualizar, pasá este documento junto con datos de mercado recientes al modelo y usá el siguiente prompt:
"Actualizá la sección 'Dónde ver información actualizada' de este instrumento con tasas, rendimientos o condiciones vigentes al [FECHA]. Mantené la estructura existente. Si algún dato estructural cambió (nueva regulación, cambio de régimen), actualizá también las secciones correspondientes y anotá la fecha de cambio."
Modelo recomendado: claude-haiku-4-5-20251001 para actualizaciones rutinarias · claude-sonnet-4-6 para revisiones profundas.</w:t>
            </w:r>
          </w:p>
        </w:tc>
      </w:tr>
    </w:tbl>
    <w:p>
      <w:pPr>
        <w:spacing w:after="80" w:before="8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Wiki de Inversiones · CEDEARs (Acciones y ETF)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6C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2026-06-23T14:44:28.638Z</dcterms:created>
  <dcterms:modified xsi:type="dcterms:W3CDTF">2026-06-23T14:44:28.638Z</dcterms:modified>
</cp:coreProperties>
</file>

<file path=docProps/custom.xml><?xml version="1.0" encoding="utf-8"?>
<Properties xmlns="http://schemas.openxmlformats.org/officeDocument/2006/custom-properties" xmlns:vt="http://schemas.openxmlformats.org/officeDocument/2006/docPropsVTypes"/>
</file>