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Bonos Soberanos (Hard Dollar)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Wiki de Inversiones · Mercado Argentino</w:t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¿Qué es?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bonos soberanos Hard Dollar son títulos de deuda pública emitidos por el Estado Nacional argentino cuya obligación contractual y todos los flujos de fondos (cupones de interés y amortizaciones) están denominados, calculados y pagaderos en dólares estadounidenses billete.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 dividen en dos familias según la jurisdicción legal: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Bonares: </w:t>
      </w:r>
      <w:r>
        <w:rPr>
          <w:rFonts w:ascii="Arial" w:cs="Arial" w:eastAsia="Arial" w:hAnsi="Arial"/>
          <w:sz w:val="22"/>
          <w:szCs w:val="22"/>
        </w:rPr>
        <w:t xml:space="preserve">Bonares (serie AL, ej. AL30, AL35): Ley Local Argentina. En escenarios de tensión, el Estado puede alterar condiciones unilateralmente. Históricamente más susceptibles a reperfilamientos forzosos.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Globales: </w:t>
      </w:r>
      <w:r>
        <w:rPr>
          <w:rFonts w:ascii="Arial" w:cs="Arial" w:eastAsia="Arial" w:hAnsi="Arial"/>
          <w:sz w:val="22"/>
          <w:szCs w:val="22"/>
        </w:rPr>
        <w:t xml:space="preserve">Globales (serie GD, ej. GD30, GD35): Ley de Nueva York. Ofrecen mayor protección legal al acreedor. Las Cláusulas de Acción Colectiva (CACs) impiden modificaciones sin consenso calificado de tenedores.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 mismo bono puede operar en distintas "especies": en pesos (AL30), con dólares locales como MEP (AL30D), o con dólares del exterior (AL30C).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¿Cómo funciona el flujo de dinero?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 </w:t>
      </w:r>
      <w:r>
        <w:rPr>
          <w:rFonts w:ascii="Arial" w:cs="Arial" w:eastAsia="Arial" w:hAnsi="Arial"/>
          <w:sz w:val="22"/>
          <w:szCs w:val="22"/>
        </w:rPr>
        <w:t xml:space="preserve">Entrada: comprás en el mercado secundario pagando un precio por cada valor nominal (VNO). El precio varía según la TIR exigida por el mercado.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Rendimiento: </w:t>
      </w:r>
      <w:r>
        <w:rPr>
          <w:rFonts w:ascii="Arial" w:cs="Arial" w:eastAsia="Arial" w:hAnsi="Arial"/>
          <w:sz w:val="22"/>
          <w:szCs w:val="22"/>
        </w:rPr>
        <w:t xml:space="preserve">Rendimiento: cupones de interés periódicos (generalmente semestrales) + amortizaciones de capital en las fechas del prospecto, acreditados en USD en tu cuenta comitente.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Operatoria MEP/CCL: </w:t>
      </w:r>
      <w:r>
        <w:rPr>
          <w:rFonts w:ascii="Arial" w:cs="Arial" w:eastAsia="Arial" w:hAnsi="Arial"/>
          <w:sz w:val="22"/>
          <w:szCs w:val="22"/>
        </w:rPr>
        <w:t xml:space="preserve">Dólar MEP/CCL: comprar el bono en especie pesos (AL30) y venderlo en especie dólares (AL30D) —tras el "parking" regulatorio— permite la dolarización legal de carteras sin límites de monto, sin pasar por el MULC.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(1): </w:t>
      </w:r>
      <w:r>
        <w:rPr>
          <w:rFonts w:ascii="Arial" w:cs="Arial" w:eastAsia="Arial" w:hAnsi="Arial"/>
          <w:sz w:val="22"/>
          <w:szCs w:val="22"/>
        </w:rPr>
        <w:t xml:space="preserve">Salida (1): mantenerlo hasta vencimiento ("hold to maturity") cobrando todos los flujos.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(2): </w:t>
      </w:r>
      <w:r>
        <w:rPr>
          <w:rFonts w:ascii="Arial" w:cs="Arial" w:eastAsia="Arial" w:hAnsi="Arial"/>
          <w:sz w:val="22"/>
          <w:szCs w:val="22"/>
        </w:rPr>
        <w:t xml:space="preserve">Salida (2): vender en el mercado secundario antes del vencimiento, capturando ganancia/pérdida de capital según el precio vigente.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Moneda de exposición al riesgo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Exposición en dólares estadounidenses por definición. Su valuación diaria en pesos está atada al tipo de cambio implícito (MEP/CCL) y a la demanda coyuntural del título.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Principales riesgos estructurales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soberano: </w:t>
      </w:r>
      <w:r>
        <w:rPr>
          <w:rFonts w:ascii="Arial" w:cs="Arial" w:eastAsia="Arial" w:hAnsi="Arial"/>
          <w:sz w:val="22"/>
          <w:szCs w:val="22"/>
        </w:rPr>
        <w:t xml:space="preserve">Riesgo de crédito/default: históricamente crónico. Posibilidad de que el Estado no tenga reservas o voluntad de honrar sus compromisos en divisas. Se refleja en el Riesgo País (EMBI).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tasa: </w:t>
      </w:r>
      <w:r>
        <w:rPr>
          <w:rFonts w:ascii="Arial" w:cs="Arial" w:eastAsia="Arial" w:hAnsi="Arial"/>
          <w:sz w:val="22"/>
          <w:szCs w:val="22"/>
        </w:rPr>
        <w:t xml:space="preserve">Riesgo de tasa (duration): el precio del bono se mueve de forma inversa a las tasas. En bonos largos, la duration amplifica la volatilidad del capital ante cambios de TIR.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legal: </w:t>
      </w:r>
      <w:r>
        <w:rPr>
          <w:rFonts w:ascii="Arial" w:cs="Arial" w:eastAsia="Arial" w:hAnsi="Arial"/>
          <w:sz w:val="22"/>
          <w:szCs w:val="22"/>
        </w:rPr>
        <w:t xml:space="preserve">Riesgo de jurisdicción: los Bonares (ley local) son más susceptibles a reperfilamientos unilaterales que los Globales (ley NY).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regulatorio: </w:t>
      </w:r>
      <w:r>
        <w:rPr>
          <w:rFonts w:ascii="Arial" w:cs="Arial" w:eastAsia="Arial" w:hAnsi="Arial"/>
          <w:sz w:val="22"/>
          <w:szCs w:val="22"/>
        </w:rPr>
        <w:t xml:space="preserve">Riesgo regulatorio: controles de capital, restricciones cambiarias, modificaciones al parking MEP/CCL.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de liquidez: </w:t>
      </w:r>
      <w:r>
        <w:rPr>
          <w:rFonts w:ascii="Arial" w:cs="Arial" w:eastAsia="Arial" w:hAnsi="Arial"/>
          <w:sz w:val="22"/>
          <w:szCs w:val="22"/>
        </w:rPr>
        <w:t xml:space="preserve">Riesgo de liquidez: los bonos de alta negociación (AL30, GD30, etc.) son muy líquidos. Los de menor volumen tienen spreads más amplios.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Horizonte recomendado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Mediano y largo plazo (2-5 años o más) para posiciones direccionales que apuestan a compresión de spreads. Para operatoria MEP/CCL puede ser de muy corto plazo (días), aunque requiere cumplir el "parking".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Ticket mínimo y accesibilidad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Óptima para carteras de USD 1.000-2.000. Las operaciones admiten ingreso desde 1 VNO, equivalente a unas pocas decenas de dólares o su contravalor en pesos.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¿Cuándo tiene sentido usarlos?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ejecutar compra/venta de dólares MEP o CCL de forma 100% legal sin límites de monto.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construir cartera de renta fija con flujos semestrales en dólares físicos.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Para especulación de ganancia de capital apostando a que el Riesgo País comprima (sube el precio del bono).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Dónde ver información actualizada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BYMA Data: </w:t>
      </w:r>
      <w:r>
        <w:rPr>
          <w:rFonts w:ascii="Arial" w:cs="Arial" w:eastAsia="Arial" w:hAnsi="Arial"/>
          <w:sz w:val="22"/>
          <w:szCs w:val="22"/>
        </w:rPr>
        <w:t xml:space="preserve">BYMA Data – Renta Fija / Títulos Públicos: paridades y volúmenes de especies AL y GD.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MAE: </w:t>
      </w:r>
      <w:r>
        <w:rPr>
          <w:rFonts w:ascii="Arial" w:cs="Arial" w:eastAsia="Arial" w:hAnsi="Arial"/>
          <w:sz w:val="22"/>
          <w:szCs w:val="22"/>
        </w:rPr>
        <w:t xml:space="preserve">MAE (marketdata.mae.com.ar): cotizaciones institucionales mayoristas, referencia de precios.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Brokers: </w:t>
      </w:r>
      <w:r>
        <w:rPr>
          <w:rFonts w:ascii="Arial" w:cs="Arial" w:eastAsia="Arial" w:hAnsi="Arial"/>
          <w:sz w:val="22"/>
          <w:szCs w:val="22"/>
        </w:rPr>
        <w:t xml:space="preserve">Brokers (PPI, Puente, IOL, Allaria): TIR, Duration, Paridad, cronograma de cupones de cada bono. Calculan automáticamente el CCL implícito.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Métricas: </w:t>
      </w:r>
      <w:r>
        <w:rPr>
          <w:rFonts w:ascii="Arial" w:cs="Arial" w:eastAsia="Arial" w:hAnsi="Arial"/>
          <w:sz w:val="22"/>
          <w:szCs w:val="22"/>
        </w:rPr>
        <w:t xml:space="preserve">Métricas clave a monitorear: TIR (rendimiento anualizado al vencimiento), Duration (sensibilidad a tasa), Paridad (precio actual / valor técnico).</w:t>
      </w:r>
    </w:p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📊 Tabla resumen de atributos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C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instrumento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 Fija Soberana (deuda pública)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Moneda de cotización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Pesos (especie local) / Dólares MEP (especie D) / Cable (especie C)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Exposición económica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Dólar estadounidense (hard dollar)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Genera renta periódica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(cupones semestrales en USD)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inflación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Indirecta (vía dólar)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Cobertura dólar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Sí, dólar billete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Horizonte recomendado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Mediano/largo plazo (2-5+ años)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Ticket mínimo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Desde 1 VNO (muy accesible)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Familias principales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Bonares (Ley Argentina, serie AL) / Globales (Ley NY, serie GD)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Mercados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BYMA (minorista) / MAE (institucional)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Regulador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CNV / Ministerio de Economía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6CA4" w:sz="6" w:space="1"/>
        </w:pBdr>
        <w:spacing w:after="16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CA4"/>
          <w:sz w:val="26"/>
          <w:szCs w:val="26"/>
        </w:rPr>
        <w:t xml:space="preserve">🤖 Nota de mantenimiento para LLM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Esta página de la wiki es mantenida por un LLM. Para actualizar, pasá este documento junto con datos de mercado recientes al modelo y usá el siguiente prompt:
"Actualizá la sección 'Dónde ver información actualizada' de este instrumento con tasas, rendimientos o condiciones vigentes al [FECHA]. Mantené la estructura existente. Si algún dato estructural cambió (nueva regulación, cambio de régimen), actualizá también las secciones correspondientes y anotá la fecha de cambio."
Modelo recomendado: claude-haiku-4-5-20251001 para actualizaciones rutinarias · claude-sonnet-4-6 para revisiones profundas.</w:t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Wiki de Inversiones · Bonos Soberanos (Hard Dollar) · 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C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2026-06-23T14:44:28.654Z</dcterms:created>
  <dcterms:modified xsi:type="dcterms:W3CDTF">2026-06-23T14:44:28.654Z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