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Bonos CER / UVA (Ajustables por Inflación)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Wiki de Inversiones · Mercado Argentino</w:t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¿Qué es?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bonos CER/UVA son títulos de deuda en pesos cuyo capital nominal se actualiza diariamente según un índice ligado a la inflación oficial: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CER: </w:t>
      </w:r>
      <w:r>
        <w:rPr>
          <w:rFonts w:ascii="Arial" w:cs="Arial" w:eastAsia="Arial" w:hAnsi="Arial"/>
          <w:sz w:val="22"/>
          <w:szCs w:val="22"/>
        </w:rPr>
        <w:t xml:space="preserve">CER (Coeficiente de Estabilización de Referencia): calculado por el BCRA a partir del IPC relevado por el INDEC. Se actualiza diariamente.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UVA: </w:t>
      </w:r>
      <w:r>
        <w:rPr>
          <w:rFonts w:ascii="Arial" w:cs="Arial" w:eastAsia="Arial" w:hAnsi="Arial"/>
          <w:sz w:val="22"/>
          <w:szCs w:val="22"/>
        </w:rPr>
        <w:t xml:space="preserve">UVA (Unidad de Valor Adquisitivo): unidad publicada por el BCRA, también ligada al IPC. Se usa principalmente en créditos hipotecarios y ciertos instrumentos de mercado.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diseño financiero: el capital invertido original se multiplica sistemáticamente por el ratio CER/UVA acumulado desde la fecha de emisión. Sobre ese capital ya ajustado se calcula una tasa de interés adicional (generalmente pequeña, ej. CER+1,5% o CER+2%), potenciando el efecto compuesto de la cobertura.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Ejemplos de series: TZX25, TZX26, TZX27 (bonos CER del Tesoro), así como LECER (letras CER de corto plazo).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¿Cómo funciona el flujo de dinero?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Entrada: </w:t>
      </w:r>
      <w:r>
        <w:rPr>
          <w:rFonts w:ascii="Arial" w:cs="Arial" w:eastAsia="Arial" w:hAnsi="Arial"/>
          <w:sz w:val="22"/>
          <w:szCs w:val="22"/>
        </w:rPr>
        <w:t xml:space="preserve">Entrada: comprás en el mercado secundario (BYMA) o en licitaciones primarias del Tesoro, pagando en pesos.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Rendimiento: </w:t>
      </w:r>
      <w:r>
        <w:rPr>
          <w:rFonts w:ascii="Arial" w:cs="Arial" w:eastAsia="Arial" w:hAnsi="Arial"/>
          <w:sz w:val="22"/>
          <w:szCs w:val="22"/>
        </w:rPr>
        <w:t xml:space="preserve">Rendimiento: cupones de interés calculados sobre el capital ya ajustado + amortizaciones del capital actualizado. Si la TIR real del mercado comprime, también ganás por precio.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Ex-cupón: </w:t>
      </w:r>
      <w:r>
        <w:rPr>
          <w:rFonts w:ascii="Arial" w:cs="Arial" w:eastAsia="Arial" w:hAnsi="Arial"/>
          <w:sz w:val="22"/>
          <w:szCs w:val="22"/>
        </w:rPr>
        <w:t xml:space="preserve">Concepto clave "fecha de corte" ex-cupón: la jornada a partir de la cual el comprador ya no adquiere el derecho al cupón inminente, generando un ajuste automático en el precio del título.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Salida: </w:t>
      </w:r>
      <w:r>
        <w:rPr>
          <w:rFonts w:ascii="Arial" w:cs="Arial" w:eastAsia="Arial" w:hAnsi="Arial"/>
          <w:sz w:val="22"/>
          <w:szCs w:val="22"/>
        </w:rPr>
        <w:t xml:space="preserve">Salida: venta anticipada en el mercado secundario o cobro íntegro al vencimiento. El precio de mercado refleja la TIR real que exige el mercado en ese momento.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Moneda de exposición al riesgo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Pesos ajustados por inflación real. Asegura en teoría la preservación del poder de compra dentro de Argentina, pero no protege directamente contra el valor relativo del dólar.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los tipos de cambio libres (CCL/MEP) se disparan más rápido que la inflación, el capital en CER pierde valor medido en divisas aunque preserve poder de compra local.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Principales riesgos estructurales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de crédito: </w:t>
      </w:r>
      <w:r>
        <w:rPr>
          <w:rFonts w:ascii="Arial" w:cs="Arial" w:eastAsia="Arial" w:hAnsi="Arial"/>
          <w:sz w:val="22"/>
          <w:szCs w:val="22"/>
        </w:rPr>
        <w:t xml:space="preserve">Riesgo de crédito: siguen siendo deuda del Estado. Posible reestructuración o reperfilamiento unilateral de la curva de pesos.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de lag: </w:t>
      </w:r>
      <w:r>
        <w:rPr>
          <w:rFonts w:ascii="Arial" w:cs="Arial" w:eastAsia="Arial" w:hAnsi="Arial"/>
          <w:sz w:val="22"/>
          <w:szCs w:val="22"/>
        </w:rPr>
        <w:t xml:space="preserve">Riesgo de rezago (lag inflacionario): el INDEC publica la inflación de un mes recién promediando el mes siguiente. El CER incorpora la inflación con un desfase de 30-45 días. En shocks hiperinflacionarios bruscos, el bono tarda en reflejar la pérdida de poder adquisitivo.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INDEC: </w:t>
      </w:r>
      <w:r>
        <w:rPr>
          <w:rFonts w:ascii="Arial" w:cs="Arial" w:eastAsia="Arial" w:hAnsi="Arial"/>
          <w:sz w:val="22"/>
          <w:szCs w:val="22"/>
        </w:rPr>
        <w:t xml:space="preserve">Riesgo estadístico/institucional: la eficacia de la cobertura depende de la rigurosidad e independencia del INDEC en la medición del IPC.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de tasa: </w:t>
      </w:r>
      <w:r>
        <w:rPr>
          <w:rFonts w:ascii="Arial" w:cs="Arial" w:eastAsia="Arial" w:hAnsi="Arial"/>
          <w:sz w:val="22"/>
          <w:szCs w:val="22"/>
        </w:rPr>
        <w:t xml:space="preserve">Riesgo de tasa real: si el mercado exige mayor tasa real, el precio del bono cae.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cambiario: </w:t>
      </w:r>
      <w:r>
        <w:rPr>
          <w:rFonts w:ascii="Arial" w:cs="Arial" w:eastAsia="Arial" w:hAnsi="Arial"/>
          <w:sz w:val="22"/>
          <w:szCs w:val="22"/>
        </w:rPr>
        <w:t xml:space="preserve">Riesgo cambiario cruzado: en una crisis donde el CCL se dispara drásticamente por encima de la inflación, el bono preserva poder de compra local pero se deprecia en dólares.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Horizonte recomendado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Corto y mediano plazo (0-3 años). La curva argentina suele ofrecer vencimientos en ese espectro. Para plazos muy cortos existen las LECER (letras CER).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Ticket mínimo y accesibilidad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Barrera de entrada virtualmente inexistente. Nominales mínimos desde 1 o 100 VNO, con tickets en pesos accesibles para cualquier inversor minorista. Se puede acceder via brokers con montos desde $10.000 pesos.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¿Cuándo tiene sentido usarlos?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proteger poder adquisitivo frente a la inflación local en pesos.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alinear activos y pasivos en pesos cuando tenés gastos futuros indexados (remodelación, capital de trabajo de una PyME).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Como alternativa a plazos fijos cuando se busca cobertura inflacionaria con mayor liquidez y posibilidad de salida anticipada.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Indicador clave a monitorear: TIR Real (en plataformas de brokers). TIR real positiva = rendimiento por encima de inflación. TIR real negativa = sobreprecio por demanda de cobertura.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Dónde ver información actualizada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BCRA: </w:t>
      </w:r>
      <w:r>
        <w:rPr>
          <w:rFonts w:ascii="Arial" w:cs="Arial" w:eastAsia="Arial" w:hAnsi="Arial"/>
          <w:sz w:val="22"/>
          <w:szCs w:val="22"/>
        </w:rPr>
        <w:t xml:space="preserve">BCRA (bcra.gob.ar/estadisticas-indicadores/): serie histórica del CER y UVA actualizada diariamente.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BYMA Data: </w:t>
      </w:r>
      <w:r>
        <w:rPr>
          <w:rFonts w:ascii="Arial" w:cs="Arial" w:eastAsia="Arial" w:hAnsi="Arial"/>
          <w:sz w:val="22"/>
          <w:szCs w:val="22"/>
        </w:rPr>
        <w:t xml:space="preserve">BYMA Data – Bonos CER/UVA: precios, paridades y curvas de rendimiento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MAE: </w:t>
      </w:r>
      <w:r>
        <w:rPr>
          <w:rFonts w:ascii="Arial" w:cs="Arial" w:eastAsia="Arial" w:hAnsi="Arial"/>
          <w:sz w:val="22"/>
          <w:szCs w:val="22"/>
        </w:rPr>
        <w:t xml:space="preserve">MAE (marketdata.mae.com.ar): referencias de precios mayoristas.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Brokers: </w:t>
      </w:r>
      <w:r>
        <w:rPr>
          <w:rFonts w:ascii="Arial" w:cs="Arial" w:eastAsia="Arial" w:hAnsi="Arial"/>
          <w:sz w:val="22"/>
          <w:szCs w:val="22"/>
        </w:rPr>
        <w:t xml:space="preserve">Brokers: TIR Real de cada bono, filtros "CER" o "UVA" en paneles de renta fija.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Min. Economía: </w:t>
      </w:r>
      <w:r>
        <w:rPr>
          <w:rFonts w:ascii="Arial" w:cs="Arial" w:eastAsia="Arial" w:hAnsi="Arial"/>
          <w:sz w:val="22"/>
          <w:szCs w:val="22"/>
        </w:rPr>
        <w:t xml:space="preserve">Ministerio de Economía (argentina.gob.ar/economia/licitaciones): licitaciones primarias de nuevas series CER.</w:t>
      </w:r>
    </w:p>
    <w:p>
      <w:pPr>
        <w:spacing w:after="80" w:before="80"/>
      </w:pPr>
      <w:r>
        <w:t xml:space="preserve"/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📊 Tabla resumen de atributos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C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instrumento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Renta Fija Soberana indexada por inflación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Moneda de cotización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Pesos ajustados por CER o UVA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Exposición económica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Pesos reales (inflación local)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Genera renta periódica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 (tasa real fija + ajuste CER/UVA sobre capital)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Cobertura inflación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 (directa, sobre capital e intereses)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Cobertura dólar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directa (depende de relación inflación/TC)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Horizonte recomendado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Corto/mediano plazo (0-3 años)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Ticket mínimo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Muy bajo (desde 1 o 100 VNO)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Índice de ajuste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 (IPC/INDEC, publicado por BCRA) o UVA (BCRA)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Rezago del índice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30-45 días hábiles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Mercados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BYMA / MAE / Licitaciones primarias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🤖 Nota de mantenimiento para LLM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Esta página de la wiki es mantenida por un LLM. Para actualizar, pasá este documento junto con datos de mercado recientes al modelo y usá el siguiente prompt:
"Actualizá la sección 'Dónde ver información actualizada' de este instrumento con tasas, rendimientos o condiciones vigentes al [FECHA]. Mantené la estructura existente. Si algún dato estructural cambió (nueva regulación, cambio de régimen), actualizá también las secciones correspondientes y anotá la fecha de cambio."
Modelo recomendado: claude-haiku-4-5-20251001 para actualizaciones rutinarias · claude-sonnet-4-6 para revisiones profundas.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Wiki de Inversiones · Bonos CER / UVA (Ajustables por Inflación)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C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2026-06-23T14:44:28.668Z</dcterms:created>
  <dcterms:modified xsi:type="dcterms:W3CDTF">2026-06-23T14:44:28.668Z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