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Bonos Dólar Linked y Duales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Wiki de Inversiones · Mercado Argentino</w:t>
      </w:r>
    </w:p>
    <w:p>
      <w:pPr>
        <w:pBdr>
          <w:bottom w:val="single" w:color="2E6CA4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¿Qué es?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bonos Dólar Linked son títulos emitidos, negociados y cancelados exclusivamente en pesos argentinos, cuya particularidad es que el valor patrimonial y los pagos están contractualmente "linkeados" a la cotización del tipo de cambio oficial mayorista (Comunicación A3500 del BCRA). No pagan dólares billete; pagan pesos equivalentes al dólar oficial.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Bonos Duales son la máxima expresión defensiva: al vencimiento pagan el importe en pesos que resulte mayor entre el ajuste por CER (inflación) y el ajuste por Dólar Linked (devaluación oficial). Es un seguro bifronte contra los dos principales flagelos de la economía argentina.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Mecánica Dólar Linked: el capital se divide por el TC oficial al inicio (asignando "dólares nocionales"). Al pago, esos dólares nocionales se multiplican por el nuevo TC oficial, definiendo el importe en pesos a acreditar.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¿Cómo funciona el flujo de dinero?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Entrada: </w:t>
      </w:r>
      <w:r>
        <w:rPr>
          <w:rFonts w:ascii="Arial" w:cs="Arial" w:eastAsia="Arial" w:hAnsi="Arial"/>
          <w:sz w:val="22"/>
          <w:szCs w:val="22"/>
        </w:rPr>
        <w:t xml:space="preserve">Entrada: comprás en pesos en el mercado secundario o en licitaciones primarias.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Rendimiento: </w:t>
      </w:r>
      <w:r>
        <w:rPr>
          <w:rFonts w:ascii="Arial" w:cs="Arial" w:eastAsia="Arial" w:hAnsi="Arial"/>
          <w:sz w:val="22"/>
          <w:szCs w:val="22"/>
        </w:rPr>
        <w:t xml:space="preserve">Rendimiento: cupones de interés calculados sobre el capital ajustado al TC oficial + amortización que refleja la devaluación acumulada. Si la tasa implícita de devaluación esperada sube, el precio del bono sube.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Salida: </w:t>
      </w:r>
      <w:r>
        <w:rPr>
          <w:rFonts w:ascii="Arial" w:cs="Arial" w:eastAsia="Arial" w:hAnsi="Arial"/>
          <w:sz w:val="22"/>
          <w:szCs w:val="22"/>
        </w:rPr>
        <w:t xml:space="preserve">Salida: cobro de cupones/amortizaciones o venta anticipada en el secundario.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Duales – pago: </w:t>
      </w:r>
      <w:r>
        <w:rPr>
          <w:rFonts w:ascii="Arial" w:cs="Arial" w:eastAsia="Arial" w:hAnsi="Arial"/>
          <w:sz w:val="22"/>
          <w:szCs w:val="22"/>
        </w:rPr>
        <w:t xml:space="preserve">Duales: al vencimiento el sistema calcula ambos ajustes (CER y Dólar Linked) y paga el mayor. No hay que apostar a cuál variable gana.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Moneda de exposición al riesgo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Exposición al dólar oficial (mayorista) — NO al dólar CCL o MEP. Es una exposición a la política cambiaria del BCRA, no al mercado libre.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Importante: no es lo mismo que tener dólares billete ni que invertir en CEDEARs o bonos Hard Dollar.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Principales riesgos estructurales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de atraso: </w:t>
      </w:r>
      <w:r>
        <w:rPr>
          <w:rFonts w:ascii="Arial" w:cs="Arial" w:eastAsia="Arial" w:hAnsi="Arial"/>
          <w:sz w:val="22"/>
          <w:szCs w:val="22"/>
        </w:rPr>
        <w:t xml:space="preserve">Riesgo de atraso cambiario ("brecha cambiaria"): si el BCRA ancla, ralentiza o retrasa el dólar oficial como política antiinflacionaria, el bono rinde poco y el capital se erosiona frente a inflación y dólares libres.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de crédito: </w:t>
      </w:r>
      <w:r>
        <w:rPr>
          <w:rFonts w:ascii="Arial" w:cs="Arial" w:eastAsia="Arial" w:hAnsi="Arial"/>
          <w:sz w:val="22"/>
          <w:szCs w:val="22"/>
        </w:rPr>
        <w:t xml:space="preserve">Riesgo de crédito: reperfilamiento de la curva de pesos del Tesoro.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regulatorio: </w:t>
      </w:r>
      <w:r>
        <w:rPr>
          <w:rFonts w:ascii="Arial" w:cs="Arial" w:eastAsia="Arial" w:hAnsi="Arial"/>
          <w:sz w:val="22"/>
          <w:szCs w:val="22"/>
        </w:rPr>
        <w:t xml:space="preserve">Riesgo regulatorio: el BCRA puede modificar cómo construye la Comunicación A3500 en casos extremos.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 Duales: </w:t>
      </w:r>
      <w:r>
        <w:rPr>
          <w:rFonts w:ascii="Arial" w:cs="Arial" w:eastAsia="Arial" w:hAnsi="Arial"/>
          <w:sz w:val="22"/>
          <w:szCs w:val="22"/>
        </w:rPr>
        <w:t xml:space="preserve">Para Duales: el riesgo es de crédito del Estado; los duales protegen del timing entre inflación y devaluación, no del default.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Horizonte recomendado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Corto y mediano plazo (6-24 meses), típicamente calibrado para coincidir con eventos binarios: procesos electorales, programas de estabilización, cambios de régimen cambiario.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Ticket mínimo y accesibilidad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Amplia. Nominales mínimos idénticos al resto de la curva soberana. Accesibles desde muy pocos pesos en el mercado secundario o desde $10.000 en licitaciones primarias.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¿Cuándo tiene sentido usarlos?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Dólar Linked: </w:t>
      </w:r>
      <w:r>
        <w:rPr>
          <w:rFonts w:ascii="Arial" w:cs="Arial" w:eastAsia="Arial" w:hAnsi="Arial"/>
          <w:sz w:val="22"/>
          <w:szCs w:val="22"/>
        </w:rPr>
        <w:t xml:space="preserve">Dólar Linked: cuando se espera un salto devaluatorio del oficial pero no se puede o quiere acceder directamente al dólar. Útil también para empresas importadoras con pasivos en TC oficial.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Duales: </w:t>
      </w:r>
      <w:r>
        <w:rPr>
          <w:rFonts w:ascii="Arial" w:cs="Arial" w:eastAsia="Arial" w:hAnsi="Arial"/>
          <w:sz w:val="22"/>
          <w:szCs w:val="22"/>
        </w:rPr>
        <w:t xml:space="preserve">Duales: cuando hay incertidumbre entre inflación y devaluación y se quiere un "seguro" que cubra cualquiera de los dos escenarios. Ideal para perfiles que quieren protección sin tener que apostar a un único variable.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Dónde ver información actualizada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BCRA – A3500: </w:t>
      </w:r>
      <w:r>
        <w:rPr>
          <w:rFonts w:ascii="Arial" w:cs="Arial" w:eastAsia="Arial" w:hAnsi="Arial"/>
          <w:sz w:val="22"/>
          <w:szCs w:val="22"/>
        </w:rPr>
        <w:t xml:space="preserve">BCRA (bcra.gob.ar/estadisticas-indicadores/): valor diario de la Comunicación A3500 y su histórico.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BYMA Data: </w:t>
      </w:r>
      <w:r>
        <w:rPr>
          <w:rFonts w:ascii="Arial" w:cs="Arial" w:eastAsia="Arial" w:hAnsi="Arial"/>
          <w:sz w:val="22"/>
          <w:szCs w:val="22"/>
        </w:rPr>
        <w:t xml:space="preserve">BYMA Data: cotizaciones de bonos Dólar Linked y Duales, filtros específicos en renta fija.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MAE: </w:t>
      </w:r>
      <w:r>
        <w:rPr>
          <w:rFonts w:ascii="Arial" w:cs="Arial" w:eastAsia="Arial" w:hAnsi="Arial"/>
          <w:sz w:val="22"/>
          <w:szCs w:val="22"/>
        </w:rPr>
        <w:t xml:space="preserve">MAE: referencias institucionales de precios.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Min. Economía: </w:t>
      </w:r>
      <w:r>
        <w:rPr>
          <w:rFonts w:ascii="Arial" w:cs="Arial" w:eastAsia="Arial" w:hAnsi="Arial"/>
          <w:sz w:val="22"/>
          <w:szCs w:val="22"/>
        </w:rPr>
        <w:t xml:space="preserve">Ministerio de Economía (argentina.gob.ar/economia/licitaciones): cronograma de licitaciones primarias y condiciones de nuevas series.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Brokers: </w:t>
      </w:r>
      <w:r>
        <w:rPr>
          <w:rFonts w:ascii="Arial" w:cs="Arial" w:eastAsia="Arial" w:hAnsi="Arial"/>
          <w:sz w:val="22"/>
          <w:szCs w:val="22"/>
        </w:rPr>
        <w:t xml:space="preserve">Brokers: filtros "DL" o "Dólar Linked" / "Dual" en paneles de renta fija.</w:t>
      </w:r>
    </w:p>
    <w:p>
      <w:pPr>
        <w:spacing w:after="80" w:before="80"/>
      </w:pPr>
      <w:r>
        <w:t xml:space="preserve"/>
      </w:r>
    </w:p>
    <w:p>
      <w:pPr>
        <w:pBdr>
          <w:bottom w:val="single" w:color="2E6CA4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📊 Tabla resumen de atributos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C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instrumento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Renta Fija Soberana/Corporativa indexada al TC oficial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Moneda de cotización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Pesos (pagaderos en pesos ajustados al TC oficial A3500)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Exposición económica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Dólar oficial mayorista (BCRA Com. A3500)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Genera renta periódica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 (cupones sobre capital ajustado al TC oficial)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Cobertura inflación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Parcial (vía tipo de cambio oficial)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Cobertura dólar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Sí, dólar oficial (NO dólar CCL/MEP)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Horizonte recomendado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Corto/mediano plazo (6-24 meses)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Riesgo principal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Atraso cambiario (crawling peg)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Bonos Duales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Pagan el mayor entre CER y Dólar Linked (seguro bifronte)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Mercados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BYMA / MAE / Licitaciones primarias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Referencia del índice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Tipo de cambio A3500 (BCRA)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6CA4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CA4"/>
          <w:sz w:val="26"/>
          <w:szCs w:val="26"/>
        </w:rPr>
        <w:t xml:space="preserve">🤖 Nota de mantenimiento para LLM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Esta página de la wiki es mantenida por un LLM. Para actualizar, pasá este documento junto con datos de mercado recientes al modelo y usá el siguiente prompt:
"Actualizá la sección 'Dónde ver información actualizada' de este instrumento con tasas, rendimientos o condiciones vigentes al [FECHA]. Mantené la estructura existente. Si algún dato estructural cambió (nueva regulación, cambio de régimen), actualizá también las secciones correspondientes y anotá la fecha de cambio."
Modelo recomendado: claude-haiku-4-5-20251001 para actualizaciones rutinarias · claude-sonnet-4-6 para revisiones profundas.</w:t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Wiki de Inversiones · Bonos Dólar Linked y Duales ·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C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2026-06-23T14:44:28.682Z</dcterms:created>
  <dcterms:modified xsi:type="dcterms:W3CDTF">2026-06-23T14:44:28.682Z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