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Obligaciones Negociables (ON) Corporativas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Wiki de Inversiones · Mercado Argentino</w:t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¿Qué es?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Las Obligaciones Negociables (ON) son instrumentos de deuda emitidos por empresas privadas (corporaciones) bajo la Ley de Obligaciones Negociables, que pagan intereses y devuelven capital en condiciones predefinidas en el prospecto de emisión. A diferencia de las acciones, al comprar una ON el inversor se convierte en acreedor de la empresa, no en accionista.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Sectores frecuentes: energía (YPF, Pampa Energía, Genneia), agropecuario, telecomunicaciones, bienes raíces, bancos.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Tipos de ON según moneda: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Hard Dollar: </w:t>
      </w:r>
      <w:r>
        <w:rPr>
          <w:rFonts w:ascii="Arial" w:cs="Arial" w:eastAsia="Arial" w:hAnsi="Arial"/>
          <w:sz w:val="22"/>
          <w:szCs w:val="22"/>
        </w:rPr>
        <w:t xml:space="preserve">Hard Dollar: las más buscadas. Pagaderas en dólares estadounidenses directamente en la cuenta. Ofrecen rendimientos históricamente entre 6%-10% anual en USD.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Dólar Linked: </w:t>
      </w:r>
      <w:r>
        <w:rPr>
          <w:rFonts w:ascii="Arial" w:cs="Arial" w:eastAsia="Arial" w:hAnsi="Arial"/>
          <w:sz w:val="22"/>
          <w:szCs w:val="22"/>
        </w:rPr>
        <w:t xml:space="preserve">Dólar Linked: emitidas en pesos ajustadas al TC oficial. Usadas por empresas con ingresos en pesos y costos en dólares.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CER/UVA: </w:t>
      </w:r>
      <w:r>
        <w:rPr>
          <w:rFonts w:ascii="Arial" w:cs="Arial" w:eastAsia="Arial" w:hAnsi="Arial"/>
          <w:sz w:val="22"/>
          <w:szCs w:val="22"/>
        </w:rPr>
        <w:t xml:space="preserve">CER/UVA: ajustadas por inflación, en pesos reales.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Pesos: </w:t>
      </w:r>
      <w:r>
        <w:rPr>
          <w:rFonts w:ascii="Arial" w:cs="Arial" w:eastAsia="Arial" w:hAnsi="Arial"/>
          <w:sz w:val="22"/>
          <w:szCs w:val="22"/>
        </w:rPr>
        <w:t xml:space="preserve">Pesos nominales: tasa fija o variable (ej. Badlar + spread).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¿Cómo funciona el flujo de dinero?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Entrada: </w:t>
      </w:r>
      <w:r>
        <w:rPr>
          <w:rFonts w:ascii="Arial" w:cs="Arial" w:eastAsia="Arial" w:hAnsi="Arial"/>
          <w:sz w:val="22"/>
          <w:szCs w:val="22"/>
        </w:rPr>
        <w:t xml:space="preserve">Entrada: comprás en el mercado primario (licitación directa de la empresa) o en el secundario (BYMA/MAE) pagando un precio por valor nominal.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Rendimiento: </w:t>
      </w:r>
      <w:r>
        <w:rPr>
          <w:rFonts w:ascii="Arial" w:cs="Arial" w:eastAsia="Arial" w:hAnsi="Arial"/>
          <w:sz w:val="22"/>
          <w:szCs w:val="22"/>
        </w:rPr>
        <w:t xml:space="preserve">Rendimiento: cupones de interés periódicos (trimestrales/semestrales) + amortización de capital según el esquema: cuotas parciales o "bullet" (todo al vencimiento).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 anticipada: </w:t>
      </w:r>
      <w:r>
        <w:rPr>
          <w:rFonts w:ascii="Arial" w:cs="Arial" w:eastAsia="Arial" w:hAnsi="Arial"/>
          <w:sz w:val="22"/>
          <w:szCs w:val="22"/>
        </w:rPr>
        <w:t xml:space="preserve">Salida anticipada: vendés en el mercado secundario antes del vencimiento al precio de mercado vigente.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 natural: </w:t>
      </w:r>
      <w:r>
        <w:rPr>
          <w:rFonts w:ascii="Arial" w:cs="Arial" w:eastAsia="Arial" w:hAnsi="Arial"/>
          <w:sz w:val="22"/>
          <w:szCs w:val="22"/>
        </w:rPr>
        <w:t xml:space="preserve">Salida natural: cobrás todos los cupones + la amortización final en la moneda del prospecto.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Moneda de exposición al riesgo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Depende de la moneda de denominación del título. Las Hard Dollar acreditan dólares billete reales en la cuenta comitente, ofreciendo la dolarización más directa del portafolio.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Importante: aunque la empresa sea solvente, el riesgo normativo puede impedirle acceder al MULC para comprar los dólares necesarios para pagar sus ON Hard Dollar. Este riesgo ha llevado a reestructuraciones de empresas rentables en pesos.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Principales riesgos estructurales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crédito: </w:t>
      </w:r>
      <w:r>
        <w:rPr>
          <w:rFonts w:ascii="Arial" w:cs="Arial" w:eastAsia="Arial" w:hAnsi="Arial"/>
          <w:sz w:val="22"/>
          <w:szCs w:val="22"/>
        </w:rPr>
        <w:t xml:space="preserve">Riesgo de crédito corporativo: la empresa puede incumplir por problemas operativos, sectoriales o macroeconómicos. Las empresas no pueden emitir moneda para cubrir déficits (a diferencia del Estado).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acceso MULC: </w:t>
      </w:r>
      <w:r>
        <w:rPr>
          <w:rFonts w:ascii="Arial" w:cs="Arial" w:eastAsia="Arial" w:hAnsi="Arial"/>
          <w:sz w:val="22"/>
          <w:szCs w:val="22"/>
        </w:rPr>
        <w:t xml:space="preserve">Riesgo cambiario/normativo (Hard Dollar): el BCRA puede bloquear el acceso al MULC para pagar obligaciones en moneda extranjera, forzando reestructuraciones.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sectorial: </w:t>
      </w:r>
      <w:r>
        <w:rPr>
          <w:rFonts w:ascii="Arial" w:cs="Arial" w:eastAsia="Arial" w:hAnsi="Arial"/>
          <w:sz w:val="22"/>
          <w:szCs w:val="22"/>
        </w:rPr>
        <w:t xml:space="preserve">Riesgo sectorial: vinculado al sector de la empresa emisora.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tasa: </w:t>
      </w:r>
      <w:r>
        <w:rPr>
          <w:rFonts w:ascii="Arial" w:cs="Arial" w:eastAsia="Arial" w:hAnsi="Arial"/>
          <w:sz w:val="22"/>
          <w:szCs w:val="22"/>
        </w:rPr>
        <w:t xml:space="preserve">Riesgo de tasa: cambios en tasas de mercado afectan el precio en el secundario.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liquidez: </w:t>
      </w:r>
      <w:r>
        <w:rPr>
          <w:rFonts w:ascii="Arial" w:cs="Arial" w:eastAsia="Arial" w:hAnsi="Arial"/>
          <w:sz w:val="22"/>
          <w:szCs w:val="22"/>
        </w:rPr>
        <w:t xml:space="preserve">Riesgo de liquidez: ciertas ON corporativas tienen volúmenes escuálidos. Si necesitás vender rápido, podrías liquidar con pérdida o no encontrar comprador.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legal: </w:t>
      </w:r>
      <w:r>
        <w:rPr>
          <w:rFonts w:ascii="Arial" w:cs="Arial" w:eastAsia="Arial" w:hAnsi="Arial"/>
          <w:sz w:val="22"/>
          <w:szCs w:val="22"/>
        </w:rPr>
        <w:t xml:space="preserve">Riesgo de jurisdicción: ON bajo ley extranjera ofrecen mayor protección al tenedor que las emitidas bajo ley local.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Horizonte recomendado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Mediano plazo (1-4 años), alineado con la vida remanente de la ON. La predictibilidad del cashflow y el calendario de repago definen el horizonte.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Ticket mínimo y accesibilidad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Muy accesible. Las emisiones modernas configuran láminas mínimas de negociación en el secundario desde USD 1, y suscripción primaria desde USD 100. Esto hace al instrumento altamente fraccionable para portafolios de USD 1.000-2.000.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Históricamente algunas ON bajo ley extranjera exigían mínimos de USD 1.000 o más. La tendencia actual es hacia la democratización.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¿Cuándo tiene sentido usarlas?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generar renta fija periódica en dólares (Hard Dollar), desligando el portafolio del riesgo soberano directo.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diversificar respecto de bonos soberanos, apostando a la solvencia de empresas privadas exportadoras o con ingresos resilientes.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Como fuente de cashflow predecible en moneda dura para cubrir compromisos futuros en divisas.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Dónde ver información actualizada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BYMA Data: </w:t>
      </w:r>
      <w:r>
        <w:rPr>
          <w:rFonts w:ascii="Arial" w:cs="Arial" w:eastAsia="Arial" w:hAnsi="Arial"/>
          <w:sz w:val="22"/>
          <w:szCs w:val="22"/>
        </w:rPr>
        <w:t xml:space="preserve">BYMA Data – Renta Fija Privada: precios, volúmenes y curva de ON corporativas en tiempo real.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CNV: </w:t>
      </w:r>
      <w:r>
        <w:rPr>
          <w:rFonts w:ascii="Arial" w:cs="Arial" w:eastAsia="Arial" w:hAnsi="Arial"/>
          <w:sz w:val="22"/>
          <w:szCs w:val="22"/>
        </w:rPr>
        <w:t xml:space="preserve">CNV (cnv.gov.ar): buscador de emisoras con prospectos de emisión, suplementos, balances y hechos relevantes.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Brokers: </w:t>
      </w:r>
      <w:r>
        <w:rPr>
          <w:rFonts w:ascii="Arial" w:cs="Arial" w:eastAsia="Arial" w:hAnsi="Arial"/>
          <w:sz w:val="22"/>
          <w:szCs w:val="22"/>
        </w:rPr>
        <w:t xml:space="preserve">Brokers: calculadoras de flujos proyectados, TIR, cronograma de amortizaciones, detalle de jurisdicción y rating.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MAE: </w:t>
      </w:r>
      <w:r>
        <w:rPr>
          <w:rFonts w:ascii="Arial" w:cs="Arial" w:eastAsia="Arial" w:hAnsi="Arial"/>
          <w:sz w:val="22"/>
          <w:szCs w:val="22"/>
        </w:rPr>
        <w:t xml:space="preserve">MAE: referencias mayoristas de precios y volúmenes.</w:t>
      </w:r>
    </w:p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📊 Tabla resumen de atributos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C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Tipo de instrumento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Renta Fija Corporativa (deuda privada)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Moneda de cotización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Pesos / Dólares hard dollar / CER / Dólar Linked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Exposición económica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Según moneda de denominación del título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Genera renta periódica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 (cupones trimestrales o semestrales)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inflación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Depende del tipo (Hard Dollar o CER)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dólar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 (Hard Dollar): acceso a dólares billete directos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Horizonte recomendado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Mediano plazo (1-4 años)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Ticket mínimo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Desde USD 1 en el secundario / USD 100 en primario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Rendimiento histórico (Hard Dollar)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6%-10% anual en USD (referencial, varía)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Mercados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BYMA / MAE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Marco legal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Ley de Obligaciones Negociables (Ley 23.576 y modificatorias)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🤖 Nota de mantenimiento para LLM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Esta página de la wiki es mantenida por un LLM. Para actualizar, pasá este documento junto con datos de mercado recientes al modelo y usá el siguiente prompt:
"Actualizá la sección 'Dónde ver información actualizada' de este instrumento con tasas, rendimientos o condiciones vigentes al [FECHA]. Mantené la estructura existente. Si algún dato estructural cambió (nueva regulación, cambio de régimen), actualizá también las secciones correspondientes y anotá la fecha de cambio."
Modelo recomendado: claude-haiku-4-5-20251001 para actualizaciones rutinarias · claude-sonnet-4-6 para revisiones profundas.</w:t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Wiki de Inversiones · Obligaciones Negociables (ON) Corporativas · 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CA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2026-06-23T14:44:28.695Z</dcterms:created>
  <dcterms:modified xsi:type="dcterms:W3CDTF">2026-06-23T14:44:28.695Z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