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FCI de Renta Fija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Wiki de Inversiones · Mercado Argentino</w:t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¿Qué es?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Los FCI de Renta Fija son fondos que invierten principalmente en bonos y otros instrumentos de renta fija. Según su mandato pueden especializarse 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Bonos en pesos nominales (tasa fija o flotante)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Bonos CER/UVA (indexados por inflación)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Bonos Dólar Linked (TC oficial)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Bonos Hard Dollar (dólares billete, soberanos o corporativos)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diferencia de los fondos Money Market, estos fondos tienen bonos que cotizan en BYMA y están sujetos a variaciones de precio diarias ("mark-to-market"). Esto los hace más volátiles pero también más potencialmente rentables.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¿Cómo funciona el flujo de dinero?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Suscripción: </w:t>
      </w:r>
      <w:r>
        <w:rPr>
          <w:rFonts w:ascii="Arial" w:cs="Arial" w:eastAsia="Arial" w:hAnsi="Arial"/>
          <w:sz w:val="22"/>
          <w:szCs w:val="22"/>
        </w:rPr>
        <w:t xml:space="preserve">Suscripción: transferís pesos (o dólares en algunos fondos) y recibís cuotapartes al valor del día.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Rendimiento: </w:t>
      </w:r>
      <w:r>
        <w:rPr>
          <w:rFonts w:ascii="Arial" w:cs="Arial" w:eastAsia="Arial" w:hAnsi="Arial"/>
          <w:sz w:val="22"/>
          <w:szCs w:val="22"/>
        </w:rPr>
        <w:t xml:space="preserve">Rendimiento: apreciación del Valor de Cuotaparte por cupones recibidos + ganancias/pérdidas de capital de los bonos subyacentes. Todo capitalizado en el precio de la cuotaparte.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Rescate: </w:t>
      </w:r>
      <w:r>
        <w:rPr>
          <w:rFonts w:ascii="Arial" w:cs="Arial" w:eastAsia="Arial" w:hAnsi="Arial"/>
          <w:sz w:val="22"/>
          <w:szCs w:val="22"/>
        </w:rPr>
        <w:t xml:space="preserve">Rescate: solicitás el rescate y los fondos se acreditan en T+1 o T+2 (24-48 hs hábiles) dependiendo del fondo.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Concepto crítico: mark-to-market. Si los bonos del fondo sufren una caída abrupta de precio (ej. crisis de deuda, suba de tasas), el Valor de Cuotaparte baja ese día, exponiendo al inversor a volatilidad que no existe en un fondo Money Market.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Moneda de exposición al riesgo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Depende del mandato del fondo: pesos nominales, pesos ajustados (CER), dólar oficial (DL), o dólares billete (Hard Dollar). La exposición es a los activos que el fondo tenga en cartera.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Principales riesgos estructurales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Volatilidad: </w:t>
      </w:r>
      <w:r>
        <w:rPr>
          <w:rFonts w:ascii="Arial" w:cs="Arial" w:eastAsia="Arial" w:hAnsi="Arial"/>
          <w:sz w:val="22"/>
          <w:szCs w:val="22"/>
        </w:rPr>
        <w:t xml:space="preserve">Mark-to-market: caídas de precio en los bonos subyacentes se reflejan inmediatamente en el valor de la cuotaparte.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Crédito subyacente: </w:t>
      </w:r>
      <w:r>
        <w:rPr>
          <w:rFonts w:ascii="Arial" w:cs="Arial" w:eastAsia="Arial" w:hAnsi="Arial"/>
          <w:sz w:val="22"/>
          <w:szCs w:val="22"/>
        </w:rPr>
        <w:t xml:space="preserve">Riesgo de crédito de los subyacentes: hereda los riesgos de los bonos soberanos y/o corporativos del portafolio.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gestión: </w:t>
      </w:r>
      <w:r>
        <w:rPr>
          <w:rFonts w:ascii="Arial" w:cs="Arial" w:eastAsia="Arial" w:hAnsi="Arial"/>
          <w:sz w:val="22"/>
          <w:szCs w:val="22"/>
        </w:rPr>
        <w:t xml:space="preserve">Riesgo de gestión: el portfolio manager puede manejar mal la duración o la selección de activos.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Liquidez: </w:t>
      </w:r>
      <w:r>
        <w:rPr>
          <w:rFonts w:ascii="Arial" w:cs="Arial" w:eastAsia="Arial" w:hAnsi="Arial"/>
          <w:sz w:val="22"/>
          <w:szCs w:val="22"/>
        </w:rPr>
        <w:t xml:space="preserve">Riesgo de liquidez diferida: rescates en T+1 o T+2 (no inmediatos como Money Market).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Horizonte recomendado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Corto/mediano plazo (3-12 meses) según la duración promedio de la cartera. Fondos de "corto plazo" o "tasa flotante" apuntan al extremo corto. Fondos de "bonos largos" o "Hard Dollar" pueden tener duración de mediano plazo.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Ticket mínimo y accesibilidad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Muy accesibles: mínimos desde $1.000 pesos, operables via homebanking o broker. Permiten diversificar emisores y vencimientos con poco capital, algo que sería imposible operando bonos individuales.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¿Cuándo tiene sentido usarlos?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Cuando querés exposición a renta fija sin tener que elegir bono por bono.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diversificar emisores y vencimientos con poco dinero.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Como puerta de entrada a CER, Hard Dollar o Dólar Linked sin la complejidad de operar los bonos directamente.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Dónde ver información actualizada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CNV: </w:t>
      </w:r>
      <w:r>
        <w:rPr>
          <w:rFonts w:ascii="Arial" w:cs="Arial" w:eastAsia="Arial" w:hAnsi="Arial"/>
          <w:sz w:val="22"/>
          <w:szCs w:val="22"/>
        </w:rPr>
        <w:t xml:space="preserve">CNV / Argentina.gob.ar – Buscador de FCI: lista fondos de renta fija autorizados, por tipo y sociedad gerente.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CAFCI: </w:t>
      </w:r>
      <w:r>
        <w:rPr>
          <w:rFonts w:ascii="Arial" w:cs="Arial" w:eastAsia="Arial" w:hAnsi="Arial"/>
          <w:sz w:val="22"/>
          <w:szCs w:val="22"/>
        </w:rPr>
        <w:t xml:space="preserve">CAFCI (cafci.org.ar): comparador de fondos con evolución histórica de cuotaparte, duración promedio, cartera, comisiones.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Bancos/Brokers: </w:t>
      </w:r>
      <w:r>
        <w:rPr>
          <w:rFonts w:ascii="Arial" w:cs="Arial" w:eastAsia="Arial" w:hAnsi="Arial"/>
          <w:sz w:val="22"/>
          <w:szCs w:val="22"/>
        </w:rPr>
        <w:t xml:space="preserve">Bancos y ALyCs ("Supermercado de Fondos"): fichas técnicas con rendimiento, duración, rating y composición de cartera.</w:t>
      </w:r>
    </w:p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📊 Tabla resumen de atributos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C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Tipo de instrumento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Fondo Común de Inversión (Renta Fija)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Moneda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Según mandato: Pesos / CER / Dólar Linked / Hard Dollar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Plazo de rescate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T+1 a T+2 según el fondo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Apreciación del valor de cuotaparte + cupones capitalizados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inflación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 (fondos CER) / Parcial (otros)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dólar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 (fondos Hard Dollar) / Parcial (DL)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Horizonte recomendado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Corto/mediano plazo (3-12 meses)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Ticket mínimo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Muy bajo (desde ~$1.000 pesos)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Regulador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CNV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Riesgo específico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Mark-to-market diario de los bonos subyacentes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🤖 Nota de mantenimiento para LLM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Esta página de la wiki es mantenida por un LLM. Para actualizar, pasá este documento junto con datos de mercado recientes al modelo y usá el siguiente prompt:
"Actualizá la sección 'Dónde ver información actualizada' de este instrumento con tasas, rendimientos o condiciones vigentes al [FECHA]. Mantené la estructura existente. Si algún dato estructural cambió (nueva regulación, cambio de régimen), actualizá también las secciones correspondientes y anotá la fecha de cambio."
Modelo recomendado: claude-haiku-4-5-20251001 para actualizaciones rutinarias · claude-sonnet-4-6 para revisiones profundas.</w:t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Wiki de Inversiones · FCI de Renta Fija · 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CA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2026-06-23T14:44:28.715Z</dcterms:created>
  <dcterms:modified xsi:type="dcterms:W3CDTF">2026-06-23T14:44:28.715Z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