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FCI Mixtos / Balanceados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FCI Mixtos o Balanceados combinan renta fija (bonos soberanos, ON corporativas) y renta variable (acciones locales, CEDEARs, ETF internacionales), buscando un equilibrio riesgo/retorno intermedio.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Sociedad Gerente decide el asset allocation dentro del mandato del reglamento de gestión, pudiendo ajustar la ponderación entre renta fija y variable según el contexto de mercado.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exposición final al dólar y a la inflación depende de la composición exacta: más CEDEARs = más exposición CCL; más bonos CER = más cobertura inflacionaria; más ON Hard Dollar = más dólares billete.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Suscripción: </w:t>
      </w:r>
      <w:r>
        <w:rPr>
          <w:rFonts w:ascii="Arial" w:cs="Arial" w:eastAsia="Arial" w:hAnsi="Arial"/>
          <w:sz w:val="22"/>
          <w:szCs w:val="22"/>
        </w:rPr>
        <w:t xml:space="preserve">Suscripción: igual que cualquier FCI abierto. Aportás pesos y recibís cuotapartes.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apreciación del Valor de Cuotaparte por resultados combinados de los activos subyacentes. Más volátil que renta fija pura.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Rescate: </w:t>
      </w:r>
      <w:r>
        <w:rPr>
          <w:rFonts w:ascii="Arial" w:cs="Arial" w:eastAsia="Arial" w:hAnsi="Arial"/>
          <w:sz w:val="22"/>
          <w:szCs w:val="22"/>
        </w:rPr>
        <w:t xml:space="preserve">Rescate: generalmente T+2 (48 hs hábiles) por la presencia de activos de renta variable.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Mixta. Más CEDEARs = más exposición al CCL. Más bonos Hard Dollar/ON = más dólares billete. Más bonos CER = más pesos reales. La ficha técnica del fondo muestra la composición actual.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Volatilidad: </w:t>
      </w:r>
      <w:r>
        <w:rPr>
          <w:rFonts w:ascii="Arial" w:cs="Arial" w:eastAsia="Arial" w:hAnsi="Arial"/>
          <w:sz w:val="22"/>
          <w:szCs w:val="22"/>
        </w:rPr>
        <w:t xml:space="preserve">Volatilidad de renta variable: la pata de acciones/CEDEARs amplifica la volatilidad total.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Mark-to-market: </w:t>
      </w:r>
      <w:r>
        <w:rPr>
          <w:rFonts w:ascii="Arial" w:cs="Arial" w:eastAsia="Arial" w:hAnsi="Arial"/>
          <w:sz w:val="22"/>
          <w:szCs w:val="22"/>
        </w:rPr>
        <w:t xml:space="preserve">Mark-to-market: tanto los bonos como las acciones se valúan diariamente al precio de mercado.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gestión: </w:t>
      </w:r>
      <w:r>
        <w:rPr>
          <w:rFonts w:ascii="Arial" w:cs="Arial" w:eastAsia="Arial" w:hAnsi="Arial"/>
          <w:sz w:val="22"/>
          <w:szCs w:val="22"/>
        </w:rPr>
        <w:t xml:space="preserve">Riesgo de gestión: el asset allocation del gestor puede no ser óptimo para el contexto de mercado.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CCL: </w:t>
      </w:r>
      <w:r>
        <w:rPr>
          <w:rFonts w:ascii="Arial" w:cs="Arial" w:eastAsia="Arial" w:hAnsi="Arial"/>
          <w:sz w:val="22"/>
          <w:szCs w:val="22"/>
        </w:rPr>
        <w:t xml:space="preserve">Exposición a shocks de dólares financieros por la pata de CEDEARs.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Mediano plazo (1-3 años o más). La pata de renta variable no está pensada para plazos de días o semanas. Se requiere paciencia para que el componente accionario rinda sus frutos.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Igual que otros FCI: mínimos bajos (desde ~$1.000 pesos), operables por homebanking o broker. La diversificación que ofrecen es virtualmente inalcanzable operando activos individuales con el mismo capital.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usarlos?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Cuando buscás una solución diversificada "llave en mano" y delegás el asset allocation al gestor.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exposición simultánea a cobertura cambiaria (vía CEDEARs) y renta fija, sin gestionar activos individualmente.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inversores con horizonte de mediano plazo que toleran algo de volatilidad a cambio de mayor potencial de retorno.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CAFCI: </w:t>
      </w:r>
      <w:r>
        <w:rPr>
          <w:rFonts w:ascii="Arial" w:cs="Arial" w:eastAsia="Arial" w:hAnsi="Arial"/>
          <w:sz w:val="22"/>
          <w:szCs w:val="22"/>
        </w:rPr>
        <w:t xml:space="preserve">CAFCI (cafci.org.ar/consulta-de-fondos.html): composición por clase de activo y moneda, evolución histórica de cuotaparte, comisiones.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CNV: </w:t>
      </w:r>
      <w:r>
        <w:rPr>
          <w:rFonts w:ascii="Arial" w:cs="Arial" w:eastAsia="Arial" w:hAnsi="Arial"/>
          <w:sz w:val="22"/>
          <w:szCs w:val="22"/>
        </w:rPr>
        <w:t xml:space="preserve">CNV (cnv.gov.ar): registro de fondos autorizados, reglamentos de gestión.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Bancos/Brokers: </w:t>
      </w:r>
      <w:r>
        <w:rPr>
          <w:rFonts w:ascii="Arial" w:cs="Arial" w:eastAsia="Arial" w:hAnsi="Arial"/>
          <w:sz w:val="22"/>
          <w:szCs w:val="22"/>
        </w:rPr>
        <w:t xml:space="preserve">Bancos y ALyCs: "Supermercado de Fondos" con fichas técnicas, ranking de rendimiento y filtros por perfil de riesgo.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Fondo Común de Inversión (Mixto/Balanceado)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Mezcla: pesos + exposición variable a USD vía CCL y Hard Dollar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Plazo de rescate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T+2 (48 hs hábiles)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Apreciación de cuotaparte por renta fija + renta variable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Parcial (según composición)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Parcial (según % de CEDEARs y bonos Hard Dollar)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 recomendado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Mediano plazo (1-3 años o más)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Ticket mínimo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Muy bajo (desde ~$1.000 pesos)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Volatilidad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Mayor que FCI Renta Fija, menor que FCI Renta Variable pura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Regulador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CNV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FCI Mixtos / Balanceados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2026-06-23T14:44:28.725Z</dcterms:created>
  <dcterms:modified xsi:type="dcterms:W3CDTF">2026-06-23T14:44:28.725Z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