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Plazos Fijos (Tradicional, UVA y en Dólares)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Wiki de Inversiones · Mercado Argentino</w:t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¿Qué es?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Los plazos fijos bancarios son contratos en los que el ahorrista entrega liquidez a un banco comercial por un período determinado, a cambio de una retribución porcentual preestablecida. Son la referencia conceptual de "tasa libre de riesgo" en pesos de corto plazo.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Existen tres variantes principales: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Tradicional: </w:t>
      </w:r>
      <w:r>
        <w:rPr>
          <w:rFonts w:ascii="Arial" w:cs="Arial" w:eastAsia="Arial" w:hAnsi="Arial"/>
          <w:sz w:val="22"/>
          <w:szCs w:val="22"/>
        </w:rPr>
        <w:t xml:space="preserve">Tradicional en pesos: tasa de interés fija pactada al inicio. Al vencimiento (mínimo 30 días) cobrás capital + intereses. Riesgo de inflación: la tasa puede no compensar la inflación real.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UVA: </w:t>
      </w:r>
      <w:r>
        <w:rPr>
          <w:rFonts w:ascii="Arial" w:cs="Arial" w:eastAsia="Arial" w:hAnsi="Arial"/>
          <w:sz w:val="22"/>
          <w:szCs w:val="22"/>
        </w:rPr>
        <w:t xml:space="preserve">UVA: depósito en Unidades de Valor Adquisitivo. El capital se actualiza por inflación (IPC) + una tasa adicional. Plazo mínimo: 180 días. Tiene precancelación desde el día 30 pero con penalización sobre la tasa pactada. Exige una permanencia larga.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 dólares: </w:t>
      </w:r>
      <w:r>
        <w:rPr>
          <w:rFonts w:ascii="Arial" w:cs="Arial" w:eastAsia="Arial" w:hAnsi="Arial"/>
          <w:sz w:val="22"/>
          <w:szCs w:val="22"/>
        </w:rPr>
        <w:t xml:space="preserve">En dólares: depósito en USD con tasa baja (históricamente casi nula). Resguardo en moneda dura dentro del sistema bancario, pero con liquidez más rígida que una caja de ahorro en USD.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¿Cómo funciona el flujo de dinero?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Entrada: </w:t>
      </w:r>
      <w:r>
        <w:rPr>
          <w:rFonts w:ascii="Arial" w:cs="Arial" w:eastAsia="Arial" w:hAnsi="Arial"/>
          <w:sz w:val="22"/>
          <w:szCs w:val="22"/>
        </w:rPr>
        <w:t xml:space="preserve">Entrada: depositás el dinero en el banco y suscribís el plazo fijo. No podés retirar antes del vencimiento (o lo hacés con penalización en UVA).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Rendimiento: </w:t>
      </w:r>
      <w:r>
        <w:rPr>
          <w:rFonts w:ascii="Arial" w:cs="Arial" w:eastAsia="Arial" w:hAnsi="Arial"/>
          <w:sz w:val="22"/>
          <w:szCs w:val="22"/>
        </w:rPr>
        <w:t xml:space="preserve">Rendimiento: al vencimiento cobrás capital + intereses en la moneda correspondiente.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Salida: </w:t>
      </w:r>
      <w:r>
        <w:rPr>
          <w:rFonts w:ascii="Arial" w:cs="Arial" w:eastAsia="Arial" w:hAnsi="Arial"/>
          <w:sz w:val="22"/>
          <w:szCs w:val="22"/>
        </w:rPr>
        <w:t xml:space="preserve">Salida: al vencimiento, el dinero vuelve a tu cuenta corriente/caja de ahorro. Podés renovar o retirar.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Moneda de exposición al riesgo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Pesos nominales (tradicional): riesgo de inflación. UVA: pesos reales, pero exige permanencia mínima. Dólares: exposición en USD pero con baja tasa y baja liquidez comparada con bonos o cuentas USD.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Principales riesgos estructurales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Inflación: </w:t>
      </w:r>
      <w:r>
        <w:rPr>
          <w:rFonts w:ascii="Arial" w:cs="Arial" w:eastAsia="Arial" w:hAnsi="Arial"/>
          <w:sz w:val="22"/>
          <w:szCs w:val="22"/>
        </w:rPr>
        <w:t xml:space="preserve">Riesgo inflacionario (tradicional): la tasa puede no compensar la inflación, generando pérdida de poder adquisitivo real.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Liquidez: </w:t>
      </w:r>
      <w:r>
        <w:rPr>
          <w:rFonts w:ascii="Arial" w:cs="Arial" w:eastAsia="Arial" w:hAnsi="Arial"/>
          <w:sz w:val="22"/>
          <w:szCs w:val="22"/>
        </w:rPr>
        <w:t xml:space="preserve">Riesgo de liquidez: el dinero está inmovilizado hasta el vencimiento (o se pierde tasa por precancelación en UVA).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Crédito: </w:t>
      </w:r>
      <w:r>
        <w:rPr>
          <w:rFonts w:ascii="Arial" w:cs="Arial" w:eastAsia="Arial" w:hAnsi="Arial"/>
          <w:sz w:val="22"/>
          <w:szCs w:val="22"/>
        </w:rPr>
        <w:t xml:space="preserve">Riesgo de crédito bancario: mitigado por regulaciones y garantía SEDESA, pero no nulo.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Costo de oportunidad: </w:t>
      </w:r>
      <w:r>
        <w:rPr>
          <w:rFonts w:ascii="Arial" w:cs="Arial" w:eastAsia="Arial" w:hAnsi="Arial"/>
          <w:sz w:val="22"/>
          <w:szCs w:val="22"/>
        </w:rPr>
        <w:t xml:space="preserve">Costo de oportunidad: los instrumentos bursátiles líquidos (FCI, bonos, letras) no tienen plazos coercitivos y suelen ofrecer mayor flexibilidad y rendimiento.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UVA – iliquidez: </w:t>
      </w:r>
      <w:r>
        <w:rPr>
          <w:rFonts w:ascii="Arial" w:cs="Arial" w:eastAsia="Arial" w:hAnsi="Arial"/>
          <w:sz w:val="22"/>
          <w:szCs w:val="22"/>
        </w:rPr>
        <w:t xml:space="preserve">UVA específico: la debilidad intrínseca de la precancelación con penalización desvirtúa el propósito de resguardo en contextos de urgencia.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Horizonte recomendado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Corto plazo para el tradicional (30-60 días). Mediano plazo obligatorio para el UVA (mínimo 180 días). Para dólares, como resguardo sin perspectiva de rendimiento significativo.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Ticket mínimo y accesibilidad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Mínimos bajos, generalmente desde $1.000 pesos o el equivalente en USD. Operable desde homebanking de cualquier banco sin necesidad de cuenta comitente.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¿Cuándo tiene sentido usarlos?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Como referencia de tasa para comparar otras alternativas (el plazo fijo es el "benchmark" de rendimiento mínimo en pesos).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Para personas que no tienen cuenta comitente y quieren una alternativa simple al efectivo.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Plazo Fijo UVA: cuando el objetivo es proteger poder adquisitivo en pesos y se tiene certeza de no necesitar el dinero por 180+ días.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 general, los instrumentos bursátiles líquidos (FCI Money Market, letras, bonos) suelen ser superiores en flexibilidad y rendimiento para inversores con cuenta comitente.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Dónde ver información actualizada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Bancos: </w:t>
      </w:r>
      <w:r>
        <w:rPr>
          <w:rFonts w:ascii="Arial" w:cs="Arial" w:eastAsia="Arial" w:hAnsi="Arial"/>
          <w:sz w:val="22"/>
          <w:szCs w:val="22"/>
        </w:rPr>
        <w:t xml:space="preserve">Sitios de bancos: tablas de tasas de plazos fijos (TNA/TEA), plazos mínimos y máximos.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BCRA: </w:t>
      </w:r>
      <w:r>
        <w:rPr>
          <w:rFonts w:ascii="Arial" w:cs="Arial" w:eastAsia="Arial" w:hAnsi="Arial"/>
          <w:sz w:val="22"/>
          <w:szCs w:val="22"/>
        </w:rPr>
        <w:t xml:space="preserve">BCRA (bcra.gob.ar): fija tasas mínimas de referencia para plazos fijos tradicionales (hasta cierto monto). Publica comunicaciones con tasas vigentes.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UVA – BCRA: </w:t>
      </w:r>
      <w:r>
        <w:rPr>
          <w:rFonts w:ascii="Arial" w:cs="Arial" w:eastAsia="Arial" w:hAnsi="Arial"/>
          <w:sz w:val="22"/>
          <w:szCs w:val="22"/>
        </w:rPr>
        <w:t xml:space="preserve">BCRA (bcra.gob.ar/estadisticas-indicadores/): valor diario de la UVA para calcular el rendimiento actualizado del plazo fijo UVA.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Comparadores: </w:t>
      </w:r>
      <w:r>
        <w:rPr>
          <w:rFonts w:ascii="Arial" w:cs="Arial" w:eastAsia="Arial" w:hAnsi="Arial"/>
          <w:sz w:val="22"/>
          <w:szCs w:val="22"/>
        </w:rPr>
        <w:t xml:space="preserve">Comparadores de bancos online: varios sitios terceros consolidan tasas de todos los bancos.</w:t>
      </w:r>
    </w:p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📊 Tabla resumen de atributos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C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Tipo de instrumento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Depósito bancario a plazo fijo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Variantes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Tradicional (pesos) / UVA (indexado) / Dólares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Moneda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Pesos (tradicional y UVA) / Dólares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Genera renta periódica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(cobro al vencimiento)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inflación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(tradicional) / Sí (UVA) / No directa (en USD)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dólar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(pesos) / Sí (en dólares)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Horizonte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Corto plazo: 30-60 días (tradicional) / 180+ días (UVA)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Plazo mínimo UVA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180 días (con precancelación desde el día 30 con penalización)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Garantía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SEDESA hasta monto máximo garantizado por el BCRA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Tasa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Fijada al inicio / actualizada por UVA (IPC)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Regulador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BCRA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🤖 Nota de mantenimiento para LLM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Esta página de la wiki es mantenida por un LLM. Para actualizar, pasá este documento junto con datos de mercado recientes al modelo y usá el siguiente prompt:
"Actualizá la sección 'Dónde ver información actualizada' de este instrumento con tasas, rendimientos o condiciones vigentes al [FECHA]. Mantené la estructura existente. Si algún dato estructural cambió (nueva regulación, cambio de régimen), actualizá también las secciones correspondientes y anotá la fecha de cambio."
Modelo recomendado: claude-haiku-4-5-20251001 para actualizaciones rutinarias · claude-sonnet-4-6 para revisiones profundas.</w:t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Wiki de Inversiones · Plazos Fijos (Tradicional, UVA y en Dólares) · 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6CA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2026-06-23T14:44:28.735Z</dcterms:created>
  <dcterms:modified xsi:type="dcterms:W3CDTF">2026-06-23T14:44:28.735Z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