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Letras del Tesoro y Provinciales (LECAPs / LECER)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Wiki de Inversiones · Mercado Argentino</w:t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¿Qué es?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Letras del Tesoro Nacional y las Letras Provinciales son instrumentos de deuda de corto plazo. Tienen la misma esencia jurídica que un bono soberano pero con vencimientos de hasta 365 días, orientadas a financiar desajustes de liquidez transitorios del Estado o las provincias.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Principales variantes: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LECAPs: </w:t>
      </w:r>
      <w:r>
        <w:rPr>
          <w:rFonts w:ascii="Arial" w:cs="Arial" w:eastAsia="Arial" w:hAnsi="Arial"/>
          <w:sz w:val="22"/>
          <w:szCs w:val="22"/>
        </w:rPr>
        <w:t xml:space="preserve">LECAPs (Letras Capitalizables): tasa fija nominal que capitaliza periódicamente. Sin cupones intermedios: comprás hoy y cobrás capital + intereses acumulados al vencimiento.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LECER: </w:t>
      </w:r>
      <w:r>
        <w:rPr>
          <w:rFonts w:ascii="Arial" w:cs="Arial" w:eastAsia="Arial" w:hAnsi="Arial"/>
          <w:sz w:val="22"/>
          <w:szCs w:val="22"/>
        </w:rPr>
        <w:t xml:space="preserve">LECER (Letras CER): ajustadas por inflación (CER). Protegen el poder adquisitivo real en el corto plazo.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LELINK: </w:t>
      </w:r>
      <w:r>
        <w:rPr>
          <w:rFonts w:ascii="Arial" w:cs="Arial" w:eastAsia="Arial" w:hAnsi="Arial"/>
          <w:sz w:val="22"/>
          <w:szCs w:val="22"/>
        </w:rPr>
        <w:t xml:space="preserve">LELINK / DL: letras dólar linked, vinculadas al tipo de cambio oficial.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Provinciales: </w:t>
      </w:r>
      <w:r>
        <w:rPr>
          <w:rFonts w:ascii="Arial" w:cs="Arial" w:eastAsia="Arial" w:hAnsi="Arial"/>
          <w:sz w:val="22"/>
          <w:szCs w:val="22"/>
        </w:rPr>
        <w:t xml:space="preserve">Letras Provinciales: emitidas por tesorerías provinciales (ej. Provincia de Buenos Aires). Riesgo algo mayor que el soberano nacional, pero accesibles via ALyCs.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Estructura: se negocian a descuento (comprás a un precio menor al valor nominal) o con capitalización bullet. No hay flujos intermedios; el rendimiento se realiza íntegramente al vencimiento.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¿Cómo funciona el flujo de dinero?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Entrada: </w:t>
      </w:r>
      <w:r>
        <w:rPr>
          <w:rFonts w:ascii="Arial" w:cs="Arial" w:eastAsia="Arial" w:hAnsi="Arial"/>
          <w:sz w:val="22"/>
          <w:szCs w:val="22"/>
        </w:rPr>
        <w:t xml:space="preserve">Entrada: comprás la letra en el mercado secundario (BYMA/ALyC) pagando un precio menor al valor nominal, o participás en una licitación primaria del Ministerio de Economía.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Rendimiento: </w:t>
      </w:r>
      <w:r>
        <w:rPr>
          <w:rFonts w:ascii="Arial" w:cs="Arial" w:eastAsia="Arial" w:hAnsi="Arial"/>
          <w:sz w:val="22"/>
          <w:szCs w:val="22"/>
        </w:rPr>
        <w:t xml:space="preserve">Rendimiento: al vencimiento cobrás el valor nominal completo (capital + rendimiento acumulado). La TIR es la diferencia entre precio de compra y valor al vencimiento, anualizada.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Salida anticipada: </w:t>
      </w:r>
      <w:r>
        <w:rPr>
          <w:rFonts w:ascii="Arial" w:cs="Arial" w:eastAsia="Arial" w:hAnsi="Arial"/>
          <w:sz w:val="22"/>
          <w:szCs w:val="22"/>
        </w:rPr>
        <w:t xml:space="preserve">Salida anticipada: vendés en el mercado secundario al precio de mercado vigente, capturando parte del rendimiento.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Moneda de exposición al riesgo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Típicamente pesos (LECAPs y LECER) o dólar oficial (LELINK). El riesgo es en moneda nacional soberana: la principal amenaza es un salto en los tipos de cambio libres que dolarice comparaciones de poder adquisitivo antes del vencimiento.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Principales riesgos estructurales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soberano: </w:t>
      </w:r>
      <w:r>
        <w:rPr>
          <w:rFonts w:ascii="Arial" w:cs="Arial" w:eastAsia="Arial" w:hAnsi="Arial"/>
          <w:sz w:val="22"/>
          <w:szCs w:val="22"/>
        </w:rPr>
        <w:t xml:space="preserve">Riesgo de crédito soberano/provincial: similares a bonos pero con vencimiento más corto, lo que reduce exposición temporal al riesgo.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rollover: </w:t>
      </w:r>
      <w:r>
        <w:rPr>
          <w:rFonts w:ascii="Arial" w:cs="Arial" w:eastAsia="Arial" w:hAnsi="Arial"/>
          <w:sz w:val="22"/>
          <w:szCs w:val="22"/>
        </w:rPr>
        <w:t xml:space="preserve">Riesgo de rollover: el Estado debe refinanciar continuamente los vencimientos. Una licitación desierta puede ser señal de estrés.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cambiario: </w:t>
      </w:r>
      <w:r>
        <w:rPr>
          <w:rFonts w:ascii="Arial" w:cs="Arial" w:eastAsia="Arial" w:hAnsi="Arial"/>
          <w:sz w:val="22"/>
          <w:szCs w:val="22"/>
        </w:rPr>
        <w:t xml:space="preserve">Riesgo cambiario (LECAPs): si el dólar libre sube más rápido que la TIR de la letra, el rendimiento en divisas se erosiona.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de tasa: </w:t>
      </w:r>
      <w:r>
        <w:rPr>
          <w:rFonts w:ascii="Arial" w:cs="Arial" w:eastAsia="Arial" w:hAnsi="Arial"/>
          <w:sz w:val="22"/>
          <w:szCs w:val="22"/>
        </w:rPr>
        <w:t xml:space="preserve">Riesgo de tasa: si la tasa de mercado sube antes del vencimiento, el precio de la letra en el secundario puede caer (aunque si se lleva a vencimiento esto no importa).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Horizonte recomendado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Corto plazo (30-365 días), alineado con el vencimiento de la letra elegida. Son la herramienta de renta fija más accesible para el corto plazo, superior a un plazo fijo en términos de liquidez (pueden venderse antes del vencimiento).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Ticket mínimo y accesibilidad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Muy accesibles. Licitaciones primarias desde $10.000 pesos. En el mercado secundario con fraccionamientos menores. Operables via ALyC tanto en primario como en secundario.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¿Cuándo tiene sentido usarlas?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Como alternativa más flexible y potencialmente más rentable al plazo fijo bancario de corto plazo.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eficientizar la tasa de rendimiento de pesos en el corto plazo con liquidez en el secundario.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LECER: cuando se quiere protección inflacionaria a corto plazo sin la rigidez del plazo fijo UVA (180 días).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posicionarse en puntos específicos de la curva de corto plazo según expectativas de tasa o inflación.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Dónde ver información actualizada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Min. Economía: </w:t>
      </w:r>
      <w:r>
        <w:rPr>
          <w:rFonts w:ascii="Arial" w:cs="Arial" w:eastAsia="Arial" w:hAnsi="Arial"/>
          <w:sz w:val="22"/>
          <w:szCs w:val="22"/>
        </w:rPr>
        <w:t xml:space="preserve">Ministerio de Economía (argentina.gob.ar/economia/licitaciones): cronograma de licitaciones primarias 2025-2026, resultados, tasas de corte.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MAE: </w:t>
      </w:r>
      <w:r>
        <w:rPr>
          <w:rFonts w:ascii="Arial" w:cs="Arial" w:eastAsia="Arial" w:hAnsi="Arial"/>
          <w:sz w:val="22"/>
          <w:szCs w:val="22"/>
        </w:rPr>
        <w:t xml:space="preserve">MAE (marketdata.mae.com.ar/licitaciones): calendario y resultados de licitaciones primarias.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BYMA / Brokers: </w:t>
      </w:r>
      <w:r>
        <w:rPr>
          <w:rFonts w:ascii="Arial" w:cs="Arial" w:eastAsia="Arial" w:hAnsi="Arial"/>
          <w:sz w:val="22"/>
          <w:szCs w:val="22"/>
        </w:rPr>
        <w:t xml:space="preserve">BYMA Data / paneles de brokers: cotizaciones en tiempo real, TIR, precio limpio y sucio de letras en el secundario.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IOL: </w:t>
      </w:r>
      <w:r>
        <w:rPr>
          <w:rFonts w:ascii="Arial" w:cs="Arial" w:eastAsia="Arial" w:hAnsi="Arial"/>
          <w:sz w:val="22"/>
          <w:szCs w:val="22"/>
        </w:rPr>
        <w:t xml:space="preserve">IOL (invertironline.com/productos/letras-lecaps): guías prácticas para invertir en LECAPs paso a paso.</w:t>
      </w:r>
    </w:p>
    <w:p>
      <w:pPr>
        <w:spacing w:after="80" w:before="80"/>
      </w:pPr>
      <w:r>
        <w:t xml:space="preserve"/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📊 Tabla resumen de atributos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C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instrumento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Renta Fija Soberana/Provincial de muy corto plazo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Variantes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LECAPs (tasa fija capitalizable) / LECER (CER) / Letras provinciales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Moneda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Pesos / Dólar Linked (según serie)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Estructura de rendimiento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descuento o capitalización bullet (sin cupones intermedios)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Cobertura inflación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 (LECER) / No (LECAP)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Cobertura dólar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en series DL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Horizonte recomendado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Corto plazo (30-365 días)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Ticket mínimo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Desde $10.000 pesos en licitación primaria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Acceso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ALyCs en mercado secundario / Licitaciones primarias del Tesoro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Regulador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Ministerio de Economía / CNV / reguladores provinciales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🤖 Nota de mantenimiento para LLM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Esta página de la wiki es mantenida por un LLM. Para actualizar, pasá este documento junto con datos de mercado recientes al modelo y usá el siguiente prompt:
"Actualizá la sección 'Dónde ver información actualizada' de este instrumento con tasas, rendimientos o condiciones vigentes al [FECHA]. Mantené la estructura existente. Si algún dato estructural cambió (nueva regulación, cambio de régimen), actualizá también las secciones correspondientes y anotá la fecha de cambio."
Modelo recomendado: claude-haiku-4-5-20251001 para actualizaciones rutinarias · claude-sonnet-4-6 para revisiones profundas.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Wiki de Inversiones · Letras del Tesoro y Provinciales (LECAPs / LECER)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C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2026-06-23T14:44:28.744Z</dcterms:created>
  <dcterms:modified xsi:type="dcterms:W3CDTF">2026-06-23T14:44:28.744Z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